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FF6A13"/>
          <w:spacing w:val="40"/>
          <w:sz w:val="16"/>
          <w:szCs w:val="16"/>
        </w:rPr>
        <w:t xml:space="preserve">JIN DESIGN  ·  FREE TEMPLATE</w:t>
      </w:r>
    </w:p>
    <w:p>
      <w:pPr>
        <w:pStyle w:val="Title"/>
      </w:pPr>
      <w:r>
        <w:rPr>
          <w:rFonts w:ascii="Arial" w:cs="Arial" w:eastAsia="Arial" w:hAnsi="Arial"/>
        </w:rPr>
        <w:t xml:space="preserve">Website brief</w:t>
      </w:r>
    </w:p>
    <w:p>
      <w:pPr>
        <w:spacing w:after="120"/>
      </w:pPr>
      <w:r>
        <w:rPr>
          <w:rFonts w:ascii="Arial" w:cs="Arial" w:eastAsia="Arial" w:hAnsi="Arial"/>
          <w:color w:val="5F5B55"/>
          <w:sz w:val="22"/>
          <w:szCs w:val="22"/>
        </w:rPr>
        <w:t xml:space="preserve">Describe your website project on one document before you ask agencies for quotes: goals, audience, pages, content, features, platform, your current site, tracking, PDPA, budget, timeline and what you want back.</w:t>
      </w:r>
    </w:p>
    <w:p>
      <w:pPr>
        <w:pStyle w:val="Heading1"/>
        <w:spacing w:before="200" w:after="100"/>
      </w:pPr>
      <w:r>
        <w:rPr>
          <w:rFonts w:ascii="Arial" w:cs="Arial" w:eastAsia="Arial" w:hAnsi="Arial"/>
        </w:rPr>
        <w:t xml:space="preserve">How to use this brief</w:t>
      </w:r>
    </w:p>
    <w:p>
      <w:pPr>
        <w:pStyle w:val="ListParagraph"/>
        <w:numPr>
          <w:ilvl w:val="0"/>
          <w:numId w:val="2"/>
        </w:numPr>
        <w:spacing w:after="60"/>
      </w:pPr>
      <w:r>
        <w:rPr>
          <w:rFonts w:ascii="Arial" w:cs="Arial" w:eastAsia="Arial" w:hAnsi="Arial"/>
        </w:rPr>
        <w:t xml:space="preserve">Fill in Part 1. The grey text under each heading explains what to write; delete it once filled in.</w:t>
      </w:r>
    </w:p>
    <w:p>
      <w:pPr>
        <w:pStyle w:val="ListParagraph"/>
        <w:numPr>
          <w:ilvl w:val="0"/>
          <w:numId w:val="2"/>
        </w:numPr>
        <w:spacing w:after="60"/>
      </w:pPr>
      <w:r>
        <w:rPr>
          <w:rFonts w:ascii="Arial" w:cs="Arial" w:eastAsia="Arial" w:hAnsi="Arial"/>
        </w:rPr>
        <w:t xml:space="preserve">If you are not sure about a section, write "not sure yet, please advise" rather than leaving it empty.</w:t>
      </w:r>
    </w:p>
    <w:p>
      <w:pPr>
        <w:pStyle w:val="ListParagraph"/>
        <w:numPr>
          <w:ilvl w:val="0"/>
          <w:numId w:val="2"/>
        </w:numPr>
        <w:spacing w:after="60"/>
      </w:pPr>
      <w:r>
        <w:rPr>
          <w:rFonts w:ascii="Arial" w:cs="Arial" w:eastAsia="Arial" w:hAnsi="Arial"/>
        </w:rPr>
        <w:t xml:space="preserve">Send the same brief to every agency, and share any answer you give one agency with all of them.</w:t>
      </w:r>
    </w:p>
    <w:p>
      <w:pPr>
        <w:pStyle w:val="ListParagraph"/>
        <w:numPr>
          <w:ilvl w:val="0"/>
          <w:numId w:val="2"/>
        </w:numPr>
        <w:spacing w:after="60"/>
      </w:pPr>
      <w:r>
        <w:rPr>
          <w:rFonts w:ascii="Arial" w:cs="Arial" w:eastAsia="Arial" w:hAnsi="Arial"/>
        </w:rPr>
        <w:t xml:space="preserve">Part 2 is a filled example for a fictional Singapore tuition centre, Pebblewood Learning. Delete it before you send your brief.</w:t>
      </w:r>
    </w:p>
    <w:p>
      <w:pPr>
        <w:spacing w:before="120" w:after="60"/>
      </w:pPr>
      <w:r>
        <w:rPr>
          <w:rFonts w:ascii="Arial" w:cs="Arial" w:eastAsia="Arial" w:hAnsi="Arial"/>
          <w:color w:val="5F5B55"/>
          <w:sz w:val="19"/>
          <w:szCs w:val="19"/>
        </w:rPr>
        <w:t xml:space="preserve">The full guide: </w:t>
      </w:r>
      <w:hyperlink w:history="1" r:id="rIdc4pmnbwyi8z-92qzshbjz">
        <w:r>
          <w:rPr>
            <w:rStyle w:val="Hyperlink"/>
            <w:rFonts w:ascii="Arial" w:cs="Arial" w:eastAsia="Arial" w:hAnsi="Arial"/>
            <w:sz w:val="19"/>
            <w:szCs w:val="19"/>
          </w:rPr>
          <w:t xml:space="preserve">How to write a website brief before you ask agencies for quotes</w:t>
        </w:r>
      </w:hyperlink>
    </w:p>
    <w:p>
      <w:pPr>
        <w:spacing w:after="120"/>
      </w:pPr>
      <w:r>
        <w:rPr>
          <w:rFonts w:ascii="Arial" w:cs="Arial" w:eastAsia="Arial" w:hAnsi="Arial"/>
          <w:color w:val="5F5B55"/>
          <w:sz w:val="17"/>
          <w:szCs w:val="17"/>
        </w:rPr>
        <w:t xml:space="preserve">Free to use for your own website and for websites you manage for clients; please do not resell the file. </w:t>
      </w:r>
      <w:hyperlink w:history="1" r:id="rId3p4y_ip3sgnpcmzi0nk-l">
        <w:r>
          <w:rPr>
            <w:rStyle w:val="Hyperlink"/>
            <w:rFonts w:ascii="Arial" w:cs="Arial" w:eastAsia="Arial" w:hAnsi="Arial"/>
            <w:sz w:val="17"/>
            <w:szCs w:val="17"/>
          </w:rPr>
          <w:t xml:space="preserve">jin-design.com/resources/templates/website-brief-template/</w:t>
        </w:r>
      </w:hyperlink>
    </w:p>
    <w:p>
      <w:pPr>
        <w:pStyle w:val="Heading1"/>
      </w:pPr>
      <w:r>
        <w:rPr>
          <w:rFonts w:ascii="Arial" w:cs="Arial" w:eastAsia="Arial" w:hAnsi="Arial"/>
        </w:rPr>
        <w:t xml:space="preserve">Part 1: Your website brief</w:t>
      </w:r>
    </w:p>
    <w:p>
      <w:pPr>
        <w:pStyle w:val="Heading2"/>
      </w:pPr>
      <w:r>
        <w:rPr>
          <w:rFonts w:ascii="Arial" w:cs="Arial" w:eastAsia="Arial" w:hAnsi="Arial"/>
        </w:rPr>
        <w:t xml:space="preserve">Project details</w:t>
      </w:r>
    </w:p>
    <w:p>
      <w:pPr>
        <w:pStyle w:val="Guidance"/>
      </w:pPr>
      <w:r>
        <w:rPr>
          <w:rFonts w:ascii="Arial" w:cs="Arial" w:eastAsia="Arial" w:hAnsi="Arial"/>
        </w:rPr>
        <w:t xml:space="preserve">Fill this in last, once the rest of the brief is done. Send the same version to every agency.</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Company name</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Current website (if any)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Brief owner (name and role)</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Date and version of this brief</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1. Goals and how success is measured</w:t>
      </w:r>
    </w:p>
    <w:p>
      <w:pPr>
        <w:pStyle w:val="Guidance"/>
      </w:pPr>
      <w:r>
        <w:rPr>
          <w:rFonts w:ascii="Arial" w:cs="Arial" w:eastAsia="Arial" w:hAnsi="Arial"/>
        </w:rPr>
        <w:t xml:space="preserve">Name the main job of the website and the one action that proves it worked, such as a sent enquiry, a booking or a sale. A modern look is a reason to redesign, but it does not tell an agency what the pages must lead visitors to do.</w:t>
      </w:r>
    </w:p>
    <w:p>
      <w:pPr>
        <w:pStyle w:val="Guidance"/>
      </w:pPr>
      <w:r>
        <w:rPr>
          <w:rFonts w:ascii="Arial" w:cs="Arial" w:eastAsia="Arial" w:hAnsi="Arial"/>
        </w:rPr>
        <w:t xml:space="preserve">Say how you will measure success and what you track today. If you track nothing yet, say so: the tracking set-up then belongs in the quote.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 business does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Why a new website now</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Main goal of the website (one)</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The action that proves it worked</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success will be measured</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you track today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Secondary goals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2. Audience</w:t>
      </w:r>
    </w:p>
    <w:p>
      <w:pPr>
        <w:pStyle w:val="Guidance"/>
      </w:pPr>
      <w:r>
        <w:rPr>
          <w:rFonts w:ascii="Arial" w:cs="Arial" w:eastAsia="Arial" w:hAnsi="Arial"/>
        </w:rPr>
        <w:t xml:space="preserve">Describe each main group of visitors: what they need to find before they contact you, and what might stop them. A few sentences per group is enough.</w:t>
      </w:r>
    </w:p>
    <w:p>
      <w:pPr>
        <w:pStyle w:val="Guidance"/>
      </w:pPr>
      <w:r>
        <w:rPr>
          <w:rFonts w:ascii="Arial" w:cs="Arial" w:eastAsia="Arial" w:hAnsi="Arial"/>
        </w:rPr>
        <w:t xml:space="preserve">Check your analytics for the device split, and note the languages your visitors read.</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120"/>
        <w:gridCol w:w="2891"/>
        <w:gridCol w:w="2506"/>
        <w:gridCol w:w="2120"/>
      </w:tblGrid>
      <w:tr>
        <w:trPr>
          <w:cantSplit/>
          <w:tblHeader/>
        </w:trPr>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Visitor group</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they need to find</w:t>
            </w:r>
          </w:p>
        </w:tc>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might stop them</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Device and language</w:t>
            </w:r>
          </w:p>
        </w:tc>
      </w:tr>
      <w:tr>
        <w:trPr>
          <w:cantSplit/>
        </w:trPr>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Competitors or similar businesses, and what you notice about their sites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3. Pages and layouts</w:t>
      </w:r>
    </w:p>
    <w:p>
      <w:pPr>
        <w:pStyle w:val="Guidance"/>
      </w:pPr>
      <w:r>
        <w:rPr>
          <w:rFonts w:ascii="Arial" w:cs="Arial" w:eastAsia="Arial" w:hAnsi="Arial"/>
        </w:rPr>
        <w:t xml:space="preserve">List the pages you expect, then give each one a layout (page type). Pages that share a layout, such as every service or product page, are one design job, so the number of unique layouts is a better guide to effort than the page count. Group repeated pages into one row, such as "Service pages (6)".</w:t>
      </w:r>
    </w:p>
    <w:p>
      <w:pPr>
        <w:pStyle w:val="Guidance"/>
      </w:pPr>
      <w:r>
        <w:rPr>
          <w:rFonts w:ascii="Arial" w:cs="Arial" w:eastAsia="Arial" w:hAnsi="Arial"/>
        </w:rPr>
        <w:t xml:space="preserve">Mark each page Must-have, Nice-to-have or Option, so agencies can price a core scope and the extras separately. Add sites you like and the brand assets you already have.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2120"/>
        <w:gridCol w:w="1542"/>
        <w:gridCol w:w="2891"/>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Page</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Layout (page type)</w:t>
            </w:r>
          </w:p>
        </w:tc>
        <w:tc>
          <w:tcPr>
            <w:tcW w:type="dxa" w:w="1542"/>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Priority</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Notes</w:t>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Number of unique layouts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Sites you like, and what you like about each</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Brand assets you have (logo, brand guide, fonts, photos)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4. Content you will supply</w:t>
      </w:r>
    </w:p>
    <w:p>
      <w:pPr>
        <w:pStyle w:val="Guidance"/>
      </w:pPr>
      <w:r>
        <w:rPr>
          <w:rFonts w:ascii="Arial" w:cs="Arial" w:eastAsia="Arial" w:hAnsi="Arial"/>
        </w:rPr>
        <w:t xml:space="preserve">For each page or type of page, say who writes the copy, who supplies photos and video, and when it will be ready. Content is often the step that holds a project up, so these dates matter as much as the launch date.</w:t>
      </w:r>
    </w:p>
    <w:p>
      <w:pPr>
        <w:pStyle w:val="Guidance"/>
      </w:pPr>
      <w:r>
        <w:rPr>
          <w:rFonts w:ascii="Arial" w:cs="Arial" w:eastAsia="Arial" w:hAnsi="Arial"/>
        </w:rPr>
        <w:t xml:space="preserve">Confirm you own the rights to the photos, video and fonts you supply, and list the languages the site needs at launch and later.</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313"/>
        <w:gridCol w:w="1928"/>
        <w:gridCol w:w="1928"/>
        <w:gridCol w:w="1253"/>
        <w:gridCol w:w="2217"/>
      </w:tblGrid>
      <w:tr>
        <w:trPr>
          <w:cantSplit/>
          <w:tblHeader/>
        </w:trPr>
        <w:tc>
          <w:tcPr>
            <w:tcW w:type="dxa" w:w="2313"/>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Page or content</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Copy written by</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Photos and video from</w:t>
            </w:r>
          </w:p>
        </w:tc>
        <w:tc>
          <w:tcPr>
            <w:tcW w:type="dxa" w:w="1253"/>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Ready by</w:t>
            </w:r>
          </w:p>
        </w:tc>
        <w:tc>
          <w:tcPr>
            <w:tcW w:type="dxa" w:w="221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Notes</w:t>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25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21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25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21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25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21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25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21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25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21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Languages at launch</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Languages later</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Rights to photos, video and fonts confirmed</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5. Features and integrations</w:t>
      </w:r>
    </w:p>
    <w:p>
      <w:pPr>
        <w:pStyle w:val="Guidance"/>
      </w:pPr>
      <w:r>
        <w:rPr>
          <w:rFonts w:ascii="Arial" w:cs="Arial" w:eastAsia="Arial" w:hAnsi="Arial"/>
        </w:rPr>
        <w:t xml:space="preserve">List what the site must do beyond showing pages: forms, bookings, payments, a members area, search, a blog, careers. For each integration, name the product you use and what should happen, for example "Enquiries go into our CRM as new contacts". A line such as "connect to our systems" cannot be priced.</w:t>
      </w:r>
    </w:p>
    <w:p>
      <w:pPr>
        <w:pStyle w:val="Guidance"/>
      </w:pPr>
      <w:r>
        <w:rPr>
          <w:rFonts w:ascii="Arial" w:cs="Arial" w:eastAsia="Arial" w:hAnsi="Arial"/>
        </w:rPr>
        <w:t xml:space="preserve">If you do not need an integration yet, say so. "No sync in phase one" is a useful answer.</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313"/>
        <w:gridCol w:w="1735"/>
        <w:gridCol w:w="4048"/>
        <w:gridCol w:w="1542"/>
      </w:tblGrid>
      <w:tr>
        <w:trPr>
          <w:cantSplit/>
          <w:tblHeader/>
        </w:trPr>
        <w:tc>
          <w:tcPr>
            <w:tcW w:type="dxa" w:w="2313"/>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Feature or integration</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Product you use</w:t>
            </w:r>
          </w:p>
        </w:tc>
        <w:tc>
          <w:tcPr>
            <w:tcW w:type="dxa" w:w="404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should happen</w:t>
            </w:r>
          </w:p>
        </w:tc>
        <w:tc>
          <w:tcPr>
            <w:tcW w:type="dxa" w:w="1542"/>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Priority</w:t>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04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04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04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04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31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04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6. Platform and who will edit the site</w:t>
      </w:r>
    </w:p>
    <w:p>
      <w:pPr>
        <w:pStyle w:val="Guidance"/>
      </w:pPr>
      <w:r>
        <w:rPr>
          <w:rFonts w:ascii="Arial" w:cs="Arial" w:eastAsia="Arial" w:hAnsi="Arial"/>
        </w:rPr>
        <w:t xml:space="preserve">If you must use a platform, say why: a team skill, an app you depend on or an IT policy. If not, ask agencies to recommend one and explain why it suits your team.</w:t>
      </w:r>
    </w:p>
    <w:p>
      <w:pPr>
        <w:pStyle w:val="Guidance"/>
      </w:pPr>
      <w:r>
        <w:rPr>
          <w:rFonts w:ascii="Arial" w:cs="Arial" w:eastAsia="Arial" w:hAnsi="Arial"/>
        </w:rPr>
        <w:t xml:space="preserve">Describe who will edit the site, what they will change and how often. A site that changes every week needs different editing tools from one that changes twice a year.</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Platform you must use, and why (or "no preference")</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will edit the site</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they will change, and how often</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comfortable they are with web tools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Hosting, security or IT policies to follow</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Help wanted after launch (care plan, training)</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7. Existing site, migration and redirects</w:t>
      </w:r>
    </w:p>
    <w:p>
      <w:pPr>
        <w:pStyle w:val="Guidance"/>
      </w:pPr>
      <w:r>
        <w:rPr>
          <w:rFonts w:ascii="Arial" w:cs="Arial" w:eastAsia="Arial" w:hAnsi="Arial"/>
        </w:rPr>
        <w:t xml:space="preserve">If you have a website, this section protects your Google traffic. Google asks you to map every old URL to its new one, use server-side permanent redirects and keep them for at least a year (</w:t>
      </w:r>
      <w:hyperlink w:history="1" r:id="rIdgvadfjrrsnet0wsiblubm">
        <w:r>
          <w:rPr>
            <w:rStyle w:val="Hyperlink"/>
            <w:rFonts w:ascii="Arial" w:cs="Arial" w:eastAsia="Arial" w:hAnsi="Arial"/>
          </w:rPr>
          <w:t xml:space="preserve">Google: moving a site with URL changes</w:t>
        </w:r>
      </w:hyperlink>
      <w:r>
        <w:rPr>
          <w:rFonts w:ascii="Arial" w:cs="Arial" w:eastAsia="Arial" w:hAnsi="Arial"/>
        </w:rPr>
        <w:t xml:space="preserve">). Agencies need your page count and your most visited pages to price that work.</w:t>
      </w:r>
    </w:p>
    <w:p>
      <w:pPr>
        <w:pStyle w:val="Guidance"/>
      </w:pPr>
      <w:r>
        <w:rPr>
          <w:rFonts w:ascii="Arial" w:cs="Arial" w:eastAsia="Arial" w:hAnsi="Arial"/>
        </w:rPr>
        <w:t xml:space="preserve">Give read-only access to Google Search Console and your analytics, and attach a list of your most visited pages. The free </w:t>
      </w:r>
      <w:hyperlink w:history="1" r:id="rIdmvsqfmz-bfhtzcavnxscu">
        <w:r>
          <w:rPr>
            <w:rStyle w:val="Hyperlink"/>
            <w:rFonts w:ascii="Arial" w:cs="Arial" w:eastAsia="Arial" w:hAnsi="Arial"/>
          </w:rPr>
          <w:t xml:space="preserve">JIN Design sitemap checker</w:t>
        </w:r>
      </w:hyperlink>
      <w:r>
        <w:rPr>
          <w:rFonts w:ascii="Arial" w:cs="Arial" w:eastAsia="Arial" w:hAnsi="Arial"/>
        </w:rPr>
        <w:t xml:space="preserve"> lists the pages in your sitemap.</w:t>
      </w:r>
    </w:p>
    <w:p>
      <w:pPr>
        <w:pStyle w:val="Guidance"/>
      </w:pPr>
      <w:r>
        <w:rPr>
          <w:rFonts w:ascii="Arial" w:cs="Arial" w:eastAsia="Arial" w:hAnsi="Arial"/>
        </w:rPr>
        <w:t xml:space="preserve">Note who holds each account. A .sg domain is registered through a registrar accredited by SGNIC (</w:t>
      </w:r>
      <w:hyperlink w:history="1" r:id="rIdldtrb4nvtzyygcbi2vhl7">
        <w:r>
          <w:rPr>
            <w:rStyle w:val="Hyperlink"/>
            <w:rFonts w:ascii="Arial" w:cs="Arial" w:eastAsia="Arial" w:hAnsi="Arial"/>
          </w:rPr>
          <w:t xml:space="preserve">SGNIC: accredited registrars</w:t>
        </w:r>
      </w:hyperlink>
      <w:r>
        <w:rPr>
          <w:rFonts w:ascii="Arial" w:cs="Arial" w:eastAsia="Arial" w:hAnsi="Arial"/>
        </w:rPr>
        <w:t xml:space="preserve">); the account should be in your company's name.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Current address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Platform it runs on</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Approximate number of pages and posts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Most visited pages (attach a list)</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Content to keep, update or retire</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Search Console and analytics access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Domain: registrar, account holder, renewal month</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Hosting and email: provider, renewal month</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8. Tracking and conversions</w:t>
      </w:r>
    </w:p>
    <w:p>
      <w:pPr>
        <w:pStyle w:val="Guidance"/>
      </w:pPr>
      <w:r>
        <w:rPr>
          <w:rFonts w:ascii="Arial" w:cs="Arial" w:eastAsia="Arial" w:hAnsi="Arial"/>
        </w:rPr>
        <w:t xml:space="preserve">List every action that counts as a result: a sent form, a tap on a WhatsApp or call button, a booking, a purchase. Google Analytics 4 calls these key events (</w:t>
      </w:r>
      <w:hyperlink w:history="1" r:id="rIdq7wsd34jflubzkxysv06a">
        <w:r>
          <w:rPr>
            <w:rStyle w:val="Hyperlink"/>
            <w:rFonts w:ascii="Arial" w:cs="Arial" w:eastAsia="Arial" w:hAnsi="Arial"/>
          </w:rPr>
          <w:t xml:space="preserve">Google Analytics: key events</w:t>
        </w:r>
      </w:hyperlink>
      <w:r>
        <w:rPr>
          <w:rFonts w:ascii="Arial" w:cs="Arial" w:eastAsia="Arial" w:hAnsi="Arial"/>
        </w:rPr>
        <w:t xml:space="preserve">). If you run Google Ads or Meta ads, say so, because the conversions need to reach those accounts too.</w:t>
      </w:r>
    </w:p>
    <w:p>
      <w:pPr>
        <w:pStyle w:val="Guidance"/>
      </w:pPr>
      <w:r>
        <w:rPr>
          <w:rFonts w:ascii="Arial" w:cs="Arial" w:eastAsia="Arial" w:hAnsi="Arial"/>
        </w:rPr>
        <w:t xml:space="preserve">Count a form when it is sent successfully, not when the button is pressed. WhatsApp and call buttons count taps, not conversations, so report them separately.</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506"/>
        <w:gridCol w:w="1928"/>
        <w:gridCol w:w="2120"/>
        <w:gridCol w:w="3084"/>
      </w:tblGrid>
      <w:tr>
        <w:trPr>
          <w:cantSplit/>
          <w:tblHeader/>
        </w:trPr>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Action on the site</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Counts as</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Report in</w:t>
            </w:r>
          </w:p>
        </w:tc>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Notes</w:t>
            </w:r>
          </w:p>
        </w:tc>
      </w:tr>
      <w:tr>
        <w:trPr>
          <w:cantSplit/>
        </w:trPr>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08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Analytics in use today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Search Console set up</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Ad accounts that need the conversions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reviews the numbers, and how often</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9. PDPA and accessibility</w:t>
      </w:r>
    </w:p>
    <w:p>
      <w:pPr>
        <w:pStyle w:val="Guidance"/>
      </w:pPr>
      <w:r>
        <w:rPr>
          <w:rFonts w:ascii="Arial" w:cs="Arial" w:eastAsia="Arial" w:hAnsi="Arial"/>
        </w:rPr>
        <w:t xml:space="preserve">Forms that collect personal data from individuals, such as names, emails or phone numbers, fall under the Personal Data Protection Act. Click each box to tick it, or note why a check does not apply. This is general guidance, not legal advice.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700"/>
        <w:gridCol w:w="8938"/>
      </w:tblGrid>
      <w:tr>
        <w:trPr>
          <w:tblHeader/>
        </w:trPr>
        <w:tc>
          <w:tcPr>
            <w:tcW w:type="dxa" w:w="7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
            </w:r>
          </w:p>
        </w:tc>
        <w:tc>
          <w:tcPr>
            <w:tcW w:type="dxa" w:w="893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Check</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Each form says what it collects and why, next to the submit button.</w:t>
            </w:r>
            <w:r>
              <w:rPr>
                <w:rFonts w:ascii="Arial" w:cs="Arial" w:eastAsia="Arial" w:hAnsi="Arial"/>
                <w:b w:val="false"/>
                <w:bCs w:val="false"/>
                <w:sz w:val="19"/>
                <w:szCs w:val="19"/>
              </w:rPr>
              <w:t xml:space="preserve"> See </w:t>
            </w:r>
            <w:hyperlink w:history="1" r:id="rIdfme3d5zpmg05rsfkwk97j">
              <w:r>
                <w:rPr>
                  <w:rStyle w:val="Hyperlink"/>
                  <w:rFonts w:ascii="Arial" w:cs="Arial" w:eastAsia="Arial" w:hAnsi="Arial"/>
                  <w:b w:val="false"/>
                  <w:bCs w:val="false"/>
                  <w:sz w:val="19"/>
                  <w:szCs w:val="19"/>
                </w:rPr>
                <w:t xml:space="preserve">PDPC: data protection obligations</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Marketing messages have their own optional, unticked opt-in.</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 NRIC numbers collected, unless the law requires it or identity must be verified to a high degree of fidelity.</w:t>
            </w:r>
            <w:r>
              <w:rPr>
                <w:rFonts w:ascii="Arial" w:cs="Arial" w:eastAsia="Arial" w:hAnsi="Arial"/>
                <w:b w:val="false"/>
                <w:bCs w:val="false"/>
                <w:sz w:val="19"/>
                <w:szCs w:val="19"/>
              </w:rPr>
              <w:t xml:space="preserve"> See </w:t>
            </w:r>
            <w:hyperlink w:history="1" r:id="rIdrbqxbsiywaqimp1g6izii">
              <w:r>
                <w:rPr>
                  <w:rStyle w:val="Hyperlink"/>
                  <w:rFonts w:ascii="Arial" w:cs="Arial" w:eastAsia="Arial" w:hAnsi="Arial"/>
                  <w:b w:val="false"/>
                  <w:bCs w:val="false"/>
                  <w:sz w:val="19"/>
                  <w:szCs w:val="19"/>
                </w:rPr>
                <w:t xml:space="preserve">PDPC: advisory guidelines on NRIC numbers</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 know where form submissions are stored, who can see them and how long they are kept.</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agency and the host, as data intermediaries, are covered by a written contract. You keep the same obligations for data they process for you.</w:t>
            </w:r>
            <w:r>
              <w:rPr>
                <w:rFonts w:ascii="Arial" w:cs="Arial" w:eastAsia="Arial" w:hAnsi="Arial"/>
                <w:b w:val="false"/>
                <w:bCs w:val="false"/>
                <w:sz w:val="19"/>
                <w:szCs w:val="19"/>
              </w:rPr>
              <w:t xml:space="preserve"> See </w:t>
            </w:r>
            <w:hyperlink w:history="1" r:id="rIdkq_sapwxhp11us-ldgggf">
              <w:r>
                <w:rPr>
                  <w:rStyle w:val="Hyperlink"/>
                  <w:rFonts w:ascii="Arial" w:cs="Arial" w:eastAsia="Arial" w:hAnsi="Arial"/>
                  <w:b w:val="false"/>
                  <w:bCs w:val="false"/>
                  <w:sz w:val="19"/>
                  <w:szCs w:val="19"/>
                </w:rPr>
                <w:t xml:space="preserve">Personal Data Protection Act, section 4</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privacy policy will be updated for the new site, including analytics and any ad tracking.</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Accessibility target named: WCAG 2.2 level AA.</w:t>
            </w:r>
            <w:r>
              <w:rPr>
                <w:rFonts w:ascii="Arial" w:cs="Arial" w:eastAsia="Arial" w:hAnsi="Arial"/>
                <w:b w:val="false"/>
                <w:bCs w:val="false"/>
                <w:sz w:val="19"/>
                <w:szCs w:val="19"/>
              </w:rPr>
              <w:t xml:space="preserve"> See </w:t>
            </w:r>
            <w:hyperlink w:history="1" r:id="rIdbpfkbylbyvxr11_kfi6ue">
              <w:r>
                <w:rPr>
                  <w:rStyle w:val="Hyperlink"/>
                  <w:rFonts w:ascii="Arial" w:cs="Arial" w:eastAsia="Arial" w:hAnsi="Arial"/>
                  <w:b w:val="false"/>
                  <w:bCs w:val="false"/>
                  <w:sz w:val="19"/>
                  <w:szCs w:val="19"/>
                </w:rPr>
                <w:t xml:space="preserve">W3C: WCAG 2.2</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Brand colours checked for text contrast.</w:t>
            </w:r>
            <w:r>
              <w:rPr>
                <w:rFonts w:ascii="Arial" w:cs="Arial" w:eastAsia="Arial" w:hAnsi="Arial"/>
                <w:b w:val="false"/>
                <w:bCs w:val="false"/>
                <w:sz w:val="19"/>
                <w:szCs w:val="19"/>
              </w:rPr>
              <w:t xml:space="preserve"> See </w:t>
            </w:r>
            <w:hyperlink w:history="1" r:id="rIdeffekihupt2uwjfkbfmck">
              <w:r>
                <w:rPr>
                  <w:rStyle w:val="Hyperlink"/>
                  <w:rFonts w:ascii="Arial" w:cs="Arial" w:eastAsia="Arial" w:hAnsi="Arial"/>
                  <w:b w:val="false"/>
                  <w:bCs w:val="false"/>
                  <w:sz w:val="19"/>
                  <w:szCs w:val="19"/>
                </w:rPr>
                <w:t xml:space="preserve">JIN Design contrast checker</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Advertising rules for our sector checked, for example MOH rules for licensed clinics.</w:t>
            </w:r>
            <w:r>
              <w:rPr>
                <w:rFonts w:ascii="Arial" w:cs="Arial" w:eastAsia="Arial" w:hAnsi="Arial"/>
                <w:b w:val="false"/>
                <w:bCs w:val="false"/>
                <w:sz w:val="19"/>
                <w:szCs w:val="19"/>
              </w:rPr>
              <w:t xml:space="preserve"> See </w:t>
            </w:r>
            <w:hyperlink w:history="1" r:id="rId69dodu1l87l_ach7ncs31">
              <w:r>
                <w:rPr>
                  <w:rStyle w:val="Hyperlink"/>
                  <w:rFonts w:ascii="Arial" w:cs="Arial" w:eastAsia="Arial" w:hAnsi="Arial"/>
                  <w:b w:val="false"/>
                  <w:bCs w:val="false"/>
                  <w:sz w:val="19"/>
                  <w:szCs w:val="19"/>
                </w:rPr>
                <w:t xml:space="preserve">Healthcare Services (Advertisement) Regulations 2021</w:t>
              </w:r>
            </w:hyperlink>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Forms on the site, and what each collects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handles data protection in your company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10. Budget and how to price options</w:t>
      </w:r>
    </w:p>
    <w:p>
      <w:pPr>
        <w:pStyle w:val="Guidance"/>
      </w:pPr>
      <w:r>
        <w:rPr>
          <w:rFonts w:ascii="Arial" w:cs="Arial" w:eastAsia="Arial" w:hAnsi="Arial"/>
        </w:rPr>
        <w:t xml:space="preserve">A budget range, or a ceiling, lets agencies propose an approach that fits. If you would rather not share it, say how you want options priced: the core scope as one figure, then each nice-to-have, language and integration as its own line.</w:t>
      </w:r>
    </w:p>
    <w:p>
      <w:pPr>
        <w:pStyle w:val="Guidance"/>
      </w:pPr>
      <w:r>
        <w:rPr>
          <w:rFonts w:ascii="Arial" w:cs="Arial" w:eastAsia="Arial" w:hAnsi="Arial"/>
        </w:rPr>
        <w:t xml:space="preserve">Ask for yearly running costs (hosting or a platform plan, paid apps, a care plan) and GST as separate lines. GST-registered businesses charge GST at 9%, checked October 2026 (</w:t>
      </w:r>
      <w:hyperlink w:history="1" r:id="rId8uoluipsu5nk8m1-9s0qu">
        <w:r>
          <w:rPr>
            <w:rStyle w:val="Hyperlink"/>
            <w:rFonts w:ascii="Arial" w:cs="Arial" w:eastAsia="Arial" w:hAnsi="Arial"/>
          </w:rPr>
          <w:t xml:space="preserve">IRAS: current GST rates</w:t>
        </w:r>
      </w:hyperlink>
      <w:r>
        <w:rPr>
          <w:rFonts w:ascii="Arial" w:cs="Arial" w:eastAsia="Arial" w:hAnsi="Arial"/>
        </w:rPr>
        <w:t xml:space="preserve">).</w:t>
      </w:r>
    </w:p>
    <w:p>
      <w:pPr>
        <w:pStyle w:val="Guidance"/>
      </w:pPr>
      <w:r>
        <w:rPr>
          <w:rFonts w:ascii="Arial" w:cs="Arial" w:eastAsia="Arial" w:hAnsi="Arial"/>
        </w:rPr>
        <w:t xml:space="preserve">Grants, checked October 2026: Enterprise Singapore's EDGE Grant replaced PSG, EDG and MRA on 30 September 2026. Its list of pre-approved single-function solutions has no category for a company website on its own. An E-Commerce Online Shop (B2C) package can get up to 50% support for SMEs on a cost capped at S$5,000, covering software costs for 12 months; GST and maintenance are not supported. The package should match the vendor quotation exactly, and you must not start work or pay a deposit before you apply (</w:t>
      </w:r>
      <w:hyperlink w:history="1" r:id="rIdlvbmicqgmz0bzceryexo6">
        <w:r>
          <w:rPr>
            <w:rStyle w:val="Hyperlink"/>
            <w:rFonts w:ascii="Arial" w:cs="Arial" w:eastAsia="Arial" w:hAnsi="Arial"/>
          </w:rPr>
          <w:t xml:space="preserve">Enterprise Singapore: EDGE E-Commerce Online Shop (B2C)</w:t>
        </w:r>
      </w:hyperlink>
      <w:r>
        <w:rPr>
          <w:rFonts w:ascii="Arial" w:cs="Arial" w:eastAsia="Arial" w:hAnsi="Arial"/>
        </w:rPr>
        <w:t xml:space="preserv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Budget range or ceiling (or "shared on the first call")</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to price options</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Grant you plan to apply for (if any)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Running costs to show in the proposal</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Payment terms you prefer</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11. Timeline and decision makers</w:t>
      </w:r>
    </w:p>
    <w:p>
      <w:pPr>
        <w:pStyle w:val="Guidance"/>
      </w:pPr>
      <w:r>
        <w:rPr>
          <w:rFonts w:ascii="Arial" w:cs="Arial" w:eastAsia="Arial" w:hAnsi="Arial"/>
        </w:rPr>
        <w:t xml:space="preserve">Give the launch date and why it matters, such as a campaign, an event or a busy season, and any dates your team is away.</w:t>
      </w:r>
    </w:p>
    <w:p>
      <w:pPr>
        <w:pStyle w:val="Guidance"/>
      </w:pPr>
      <w:r>
        <w:rPr>
          <w:rFonts w:ascii="Arial" w:cs="Arial" w:eastAsia="Arial" w:hAnsi="Arial"/>
        </w:rPr>
        <w:t xml:space="preserve">Name the people involved. Bring the person who gives final approval into the first design review, so approved work is not reopened later.</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Target launch date, and why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Dates the team is unavailable</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Questions about this brief by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Proposals due by</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506"/>
        <w:gridCol w:w="2506"/>
        <w:gridCol w:w="4626"/>
      </w:tblGrid>
      <w:tr>
        <w:trPr>
          <w:cantSplit/>
          <w:tblHeader/>
        </w:trPr>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Role</w:t>
            </w:r>
          </w:p>
        </w:tc>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w:t>
            </w:r>
          </w:p>
        </w:tc>
        <w:tc>
          <w:tcPr>
            <w:tcW w:type="dxa" w:w="462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Responsible for</w:t>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Day-to-day contact</w:t>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62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Content owner</w:t>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62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Final approval</w:t>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62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Accounts and IT</w:t>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62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Data protection</w:t>
            </w:r>
          </w:p>
        </w:tc>
        <w:tc>
          <w:tcPr>
            <w:tcW w:type="dxa" w:w="250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4626"/>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12. What we want back in the proposal</w:t>
      </w:r>
    </w:p>
    <w:p>
      <w:pPr>
        <w:pStyle w:val="Guidance"/>
      </w:pPr>
      <w:r>
        <w:rPr>
          <w:rFonts w:ascii="Arial" w:cs="Arial" w:eastAsia="Arial" w:hAnsi="Arial"/>
        </w:rPr>
        <w:t xml:space="preserve">Ask every agency for the same things, so the proposals can be compared line by line. Click the box next to each item you need, and add anything else. The free </w:t>
      </w:r>
      <w:hyperlink w:history="1" r:id="rIdafjjlom0v5-ogor4s8trv">
        <w:r>
          <w:rPr>
            <w:rStyle w:val="Hyperlink"/>
            <w:rFonts w:ascii="Arial" w:cs="Arial" w:eastAsia="Arial" w:hAnsi="Arial"/>
          </w:rPr>
          <w:t xml:space="preserve">website scope worksheet</w:t>
        </w:r>
      </w:hyperlink>
      <w:r>
        <w:rPr>
          <w:rFonts w:ascii="Arial" w:cs="Arial" w:eastAsia="Arial" w:hAnsi="Arial"/>
        </w:rPr>
        <w:t xml:space="preserve"> has a tab for comparing up to three quotes with running costs added.</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700"/>
        <w:gridCol w:w="8938"/>
      </w:tblGrid>
      <w:tr>
        <w:trPr>
          <w:tblHeader/>
        </w:trPr>
        <w:tc>
          <w:tcPr>
            <w:tcW w:type="dxa" w:w="7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
            </w:r>
          </w:p>
        </w:tc>
        <w:tc>
          <w:tcPr>
            <w:tcW w:type="dxa" w:w="893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Check</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Pricing against the sections of this brief, with the core scope and each option on separate lines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Assumptions and exclusions in writing, including the number of unique layouts and rounds of changes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recommended platform, and why it suits our team</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plan for our current pages and redirects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timeline with milestones, and what you need from us at each one</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names and roles of the people doing the work</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Running costs for each year, and who bills each one</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GST shown as included or added</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Confirmation that the domain, content, design files and accounts are ours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Payment stages, and what we receive at each one</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Your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Send proposals to</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Format (for example a PDF, then a call)</w:t>
            </w:r>
          </w:p>
        </w:tc>
        <w:tc>
          <w:tcPr>
            <w:tcW w:type="dxa" w:w="636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r>
        <w:br w:type="page"/>
      </w:r>
    </w:p>
    <w:p>
      <w:pPr>
        <w:pStyle w:val="Heading1"/>
      </w:pPr>
      <w:r>
        <w:rPr>
          <w:rFonts w:ascii="Arial" w:cs="Arial" w:eastAsia="Arial" w:hAnsi="Arial"/>
        </w:rPr>
        <w:t xml:space="preserve">Part 2: Filled example</w:t>
      </w:r>
    </w:p>
    <w:p>
      <w:pPr>
        <w:pStyle w:val="Guidance"/>
      </w:pPr>
      <w:r>
        <w:rPr>
          <w:rFonts w:ascii="Arial" w:cs="Arial" w:eastAsia="Arial" w:hAnsi="Arial"/>
        </w:rPr>
        <w:t xml:space="preserve">Pebblewood Learning is a fictional tuition and enrichment centre in Singapore, invented to show the level of detail that helps an agency quote. Its web address is a placeholder. There are no prices in this example.</w:t>
      </w:r>
    </w:p>
    <w:p>
      <w:pPr>
        <w:pStyle w:val="Heading2"/>
      </w:pPr>
      <w:r>
        <w:rPr>
          <w:rFonts w:ascii="Arial" w:cs="Arial" w:eastAsia="Arial" w:hAnsi="Arial"/>
        </w:rPr>
        <w:t xml:space="preserve">Project details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Company name</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Pebblewood Learning (fictional)</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Current website (if any)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pebblewood-learning.example (a placeholder address)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Brief owner (name and role)</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Centre manager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Date and version of this brief</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October, version 1</w:t>
            </w:r>
          </w:p>
        </w:tc>
      </w:tr>
    </w:tbl>
    <w:p>
      <w:pPr>
        <w:pStyle w:val="Heading2"/>
      </w:pPr>
      <w:r>
        <w:rPr>
          <w:rFonts w:ascii="Arial" w:cs="Arial" w:eastAsia="Arial" w:hAnsi="Arial"/>
        </w:rPr>
        <w:t xml:space="preserve">1. Goals and how success is measured</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 business does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Tuition and enrichment classes in English, maths and science for upper primary and secondary students, at two centres in Singapore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Why a new website now</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Staff find the current site hard to update, the timetable is often out of date, and the trial class form is not tracked</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Main goal of the website (one)</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More trial class bookings from parents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The action that proves it worked</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trial class request sent through the website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success will be measured</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Trial class requests per month in GA4, compared with the bookings the admin team confirms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you track today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Page views in GA4 only; form sends are not tracked</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Secondary goals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Parents reading programme pages before they call; tutor job applications</w:t>
            </w:r>
          </w:p>
        </w:tc>
      </w:tr>
    </w:tbl>
    <w:p>
      <w:pPr>
        <w:pStyle w:val="Heading2"/>
      </w:pPr>
      <w:r>
        <w:rPr>
          <w:rFonts w:ascii="Arial" w:cs="Arial" w:eastAsia="Arial" w:hAnsi="Arial"/>
        </w:rPr>
        <w:t xml:space="preserve">2. Audience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120"/>
        <w:gridCol w:w="2891"/>
        <w:gridCol w:w="2506"/>
        <w:gridCol w:w="2120"/>
      </w:tblGrid>
      <w:tr>
        <w:trPr>
          <w:cantSplit/>
          <w:tblHeader/>
        </w:trPr>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Visitor group</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they need to find</w:t>
            </w:r>
          </w:p>
        </w:tc>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might stop them</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Device and language</w:t>
            </w:r>
          </w:p>
        </w:tc>
      </w:tr>
      <w:tr>
        <w:trPr>
          <w:cantSplit/>
        </w:trPr>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Parents of upper primary students</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Class size, the tutors, the timetable, the nearest centre</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sure which class suits their child's level</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Mostly phones, in the evening; English, and many also read Chinese</w:t>
            </w:r>
          </w:p>
        </w:tc>
      </w:tr>
      <w:tr>
        <w:trPr>
          <w:cantSplit/>
        </w:trPr>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Parents of secondary students</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Programmes for each subject and how lessons follow the school syllabus</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Timetable clashes with CCAs</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Phones and laptops; English</w:t>
            </w:r>
          </w:p>
        </w:tc>
      </w:tr>
      <w:tr>
        <w:trPr>
          <w:cantSplit/>
        </w:trPr>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Secondary students</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Timetable and how to get to the centre</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usually the one who decides</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Phones; English</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Competitors or similar businesses, and what you notice about their sites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Other tuition centres near our two centres; parents look first for class sizes and the timetable</w:t>
            </w:r>
          </w:p>
        </w:tc>
      </w:tr>
    </w:tbl>
    <w:p>
      <w:pPr>
        <w:pStyle w:val="Heading2"/>
      </w:pPr>
      <w:r>
        <w:rPr>
          <w:rFonts w:ascii="Arial" w:cs="Arial" w:eastAsia="Arial" w:hAnsi="Arial"/>
        </w:rPr>
        <w:t xml:space="preserve">3. Pages and layouts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2120"/>
        <w:gridCol w:w="1542"/>
        <w:gridCol w:w="2891"/>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Page</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Layout (page type)</w:t>
            </w:r>
          </w:p>
        </w:tc>
        <w:tc>
          <w:tcPr>
            <w:tcW w:type="dxa" w:w="1542"/>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Priority</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Notes</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Home</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Home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Trial class button on the first screen</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About us, FAQ, contact, privacy policy</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Standard page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Programmes overview</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Programme listing</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Filter by level and subject</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Programme pages (8, one per level and subject group)</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Programme page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Same structure on every page</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Our tutors</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Tutor listing</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Profiles on one page</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Centre pages (2)</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Centre page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Map, opening hours, nearest MRT</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Timetable</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Timetable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Admin staff update it each term</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Book a trial class</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Form page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Blog listing and posts (about 40 kept from the old site)</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Blog listing, blog post</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Posts moved by the agency</w:t>
            </w:r>
          </w:p>
        </w:tc>
      </w:tr>
      <w:tr>
        <w:trPr>
          <w:cantSplit/>
        </w:trPr>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Chinese versions of home, programmes overview and trial booking</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Same layouts</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Option</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Price separately</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Number of unique layouts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10</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Sites you like, and what you like about each</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Two education sites that show the timetable clearly on a phone (links sent with this brief)</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Brand assets you have (logo, brand guide, fonts, photos)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Logo files and colours; no brand guide yet; our own photos of both centres</w:t>
            </w:r>
          </w:p>
        </w:tc>
      </w:tr>
    </w:tbl>
    <w:p>
      <w:pPr>
        <w:pStyle w:val="Heading2"/>
      </w:pPr>
      <w:r>
        <w:rPr>
          <w:rFonts w:ascii="Arial" w:cs="Arial" w:eastAsia="Arial" w:hAnsi="Arial"/>
        </w:rPr>
        <w:t xml:space="preserve">4. Content you will supply</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313"/>
        <w:gridCol w:w="1928"/>
        <w:gridCol w:w="1928"/>
        <w:gridCol w:w="1253"/>
        <w:gridCol w:w="2217"/>
      </w:tblGrid>
      <w:tr>
        <w:trPr>
          <w:cantSplit/>
          <w:tblHeader/>
        </w:trPr>
        <w:tc>
          <w:tcPr>
            <w:tcW w:type="dxa" w:w="2313"/>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Page or content</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Copy written by</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Photos and video from</w:t>
            </w:r>
          </w:p>
        </w:tc>
        <w:tc>
          <w:tcPr>
            <w:tcW w:type="dxa" w:w="1253"/>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Ready by</w:t>
            </w:r>
          </w:p>
        </w:tc>
        <w:tc>
          <w:tcPr>
            <w:tcW w:type="dxa" w:w="221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Notes</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Home, About us</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Agency writes, we check</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Our own photos</w:t>
            </w:r>
          </w:p>
        </w:tc>
        <w:tc>
          <w:tcPr>
            <w:tcW w:type="dxa" w:w="125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4</w:t>
            </w:r>
          </w:p>
        </w:tc>
        <w:tc>
          <w:tcPr>
            <w:tcW w:type="dxa" w:w="221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Agency interviews the founder</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Programme pages (8)</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 write, agency edits</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Our own photos</w:t>
            </w:r>
          </w:p>
        </w:tc>
        <w:tc>
          <w:tcPr>
            <w:tcW w:type="dxa" w:w="125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3</w:t>
            </w:r>
          </w:p>
        </w:tc>
        <w:tc>
          <w:tcPr>
            <w:tcW w:type="dxa" w:w="221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Agency sends one outline for every page</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Tutor profiles</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Each tutor; centre manager collects</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Tutors' own photos</w:t>
            </w:r>
          </w:p>
        </w:tc>
        <w:tc>
          <w:tcPr>
            <w:tcW w:type="dxa" w:w="125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3</w:t>
            </w:r>
          </w:p>
        </w:tc>
        <w:tc>
          <w:tcPr>
            <w:tcW w:type="dxa" w:w="221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Written consent from each tutor to use the photo</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Centre pages (2)</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 write</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Our own photos</w:t>
            </w:r>
          </w:p>
        </w:tc>
        <w:tc>
          <w:tcPr>
            <w:tcW w:type="dxa" w:w="125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3</w:t>
            </w:r>
          </w:p>
        </w:tc>
        <w:tc>
          <w:tcPr>
            <w:tcW w:type="dxa" w:w="221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Opening hours, nearest MRT, parking</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Blog posts (about 40)</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Existing posts kept</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Existing images</w:t>
            </w:r>
          </w:p>
        </w:tc>
        <w:tc>
          <w:tcPr>
            <w:tcW w:type="dxa" w:w="125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Before launch</w:t>
            </w:r>
          </w:p>
        </w:tc>
        <w:tc>
          <w:tcPr>
            <w:tcW w:type="dxa" w:w="221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Agency moves the posts and checks images</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Languages at launch</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English</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Languages later</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Chinese for home, programmes overview and trial booking, priced as an option</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Rights to photos, video and fonts confirmed</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for our photos; agency to confirm font licences</w:t>
            </w:r>
          </w:p>
        </w:tc>
      </w:tr>
    </w:tbl>
    <w:p>
      <w:pPr>
        <w:pStyle w:val="Heading2"/>
      </w:pPr>
      <w:r>
        <w:rPr>
          <w:rFonts w:ascii="Arial" w:cs="Arial" w:eastAsia="Arial" w:hAnsi="Arial"/>
        </w:rPr>
        <w:t xml:space="preserve">5. Features and integrations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313"/>
        <w:gridCol w:w="1735"/>
        <w:gridCol w:w="4048"/>
        <w:gridCol w:w="1542"/>
      </w:tblGrid>
      <w:tr>
        <w:trPr>
          <w:cantSplit/>
          <w:tblHeader/>
        </w:trPr>
        <w:tc>
          <w:tcPr>
            <w:tcW w:type="dxa" w:w="2313"/>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Feature or integration</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Product you use</w:t>
            </w:r>
          </w:p>
        </w:tc>
        <w:tc>
          <w:tcPr>
            <w:tcW w:type="dxa" w:w="404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should happen</w:t>
            </w:r>
          </w:p>
        </w:tc>
        <w:tc>
          <w:tcPr>
            <w:tcW w:type="dxa" w:w="1542"/>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Priority</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Trial class form</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Website form</w:t>
            </w:r>
          </w:p>
        </w:tc>
        <w:tc>
          <w:tcPr>
            <w:tcW w:type="dxa" w:w="404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Parent name, mobile, email, child's level, subject, preferred centre and slot; emails the admin team</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 button</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 Business</w:t>
            </w:r>
          </w:p>
        </w:tc>
        <w:tc>
          <w:tcPr>
            <w:tcW w:type="dxa" w:w="404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Opens a chat with a pre-filled message naming the page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Map on centre pages</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Google Maps</w:t>
            </w:r>
          </w:p>
        </w:tc>
        <w:tc>
          <w:tcPr>
            <w:tcW w:type="dxa" w:w="404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Map and directions for each centre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Must-have</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Student management system</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Our current system</w:t>
            </w:r>
          </w:p>
        </w:tc>
        <w:tc>
          <w:tcPr>
            <w:tcW w:type="dxa" w:w="404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 sync in phase one; admin staff enter trial students by hand</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in scope</w:t>
            </w:r>
          </w:p>
        </w:tc>
      </w:tr>
      <w:tr>
        <w:trPr>
          <w:cantSplit/>
        </w:trPr>
        <w:tc>
          <w:tcPr>
            <w:tcW w:type="dxa" w:w="2313"/>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Online payment of term fees</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To be decided</w:t>
            </w:r>
          </w:p>
        </w:tc>
        <w:tc>
          <w:tcPr>
            <w:tcW w:type="dxa" w:w="404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Price as an option for a later phase</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Option</w:t>
            </w:r>
          </w:p>
        </w:tc>
      </w:tr>
    </w:tbl>
    <w:p>
      <w:pPr>
        <w:pStyle w:val="Heading2"/>
      </w:pPr>
      <w:r>
        <w:rPr>
          <w:rFonts w:ascii="Arial" w:cs="Arial" w:eastAsia="Arial" w:hAnsi="Arial"/>
        </w:rPr>
        <w:t xml:space="preserve">6. Platform and who will edit the site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Platform you must use, and why (or "no preference")</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 preference. Please recommend one and explain why it suits us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will edit the site</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Two admin staff</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they will change, and how often</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timetable each term, a blog post most weeks, programme details now and then</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comfortable they are with web tools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Comfortable with office software, not technical</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Hosting, security or IT policies to follow</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None, but the domain and every account must be in the company's name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Help wanted after launch (care plan, training)</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care plan for updates and backups, and a training session for the admin staff</w:t>
            </w:r>
          </w:p>
        </w:tc>
      </w:tr>
    </w:tbl>
    <w:p>
      <w:pPr>
        <w:pStyle w:val="Heading2"/>
      </w:pPr>
      <w:r>
        <w:rPr>
          <w:rFonts w:ascii="Arial" w:cs="Arial" w:eastAsia="Arial" w:hAnsi="Arial"/>
        </w:rPr>
        <w:t xml:space="preserve">7. Existing site, migration and redirects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Current address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pebblewood-learning.example (placeholder)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Platform it runs on</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WordPress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Approximate number of pages and posts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About 80 URLs, including about 40 blog posts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Most visited pages (attach a list)</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Attached: the top 20 landing pages in GA4 over the last 12 months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Content to keep, update or retire</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Keep blog posts that bring visits; rewrite programme pages; retire old event pages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Search Console and analytics access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Read-only access to the agency we appoint</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Domain: registrar, account holder, renewal month</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.sg domain with an accredited registrar, in the company's name, renews in March</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Hosting and email: provider, renewal month</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Hosting renews in January; email stays with the current provider</w:t>
            </w:r>
          </w:p>
        </w:tc>
      </w:tr>
    </w:tbl>
    <w:p>
      <w:pPr>
        <w:pStyle w:val="Heading2"/>
      </w:pPr>
      <w:r>
        <w:rPr>
          <w:rFonts w:ascii="Arial" w:cs="Arial" w:eastAsia="Arial" w:hAnsi="Arial"/>
        </w:rPr>
        <w:t xml:space="preserve">8. Tracking and conversions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506"/>
        <w:gridCol w:w="1928"/>
        <w:gridCol w:w="2120"/>
        <w:gridCol w:w="3084"/>
      </w:tblGrid>
      <w:tr>
        <w:trPr>
          <w:cantSplit/>
          <w:tblHeader/>
        </w:trPr>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Action on the site</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Counts as</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Report in</w:t>
            </w:r>
          </w:p>
        </w:tc>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Notes</w:t>
            </w:r>
          </w:p>
        </w:tc>
      </w:tr>
      <w:tr>
        <w:trPr>
          <w:cantSplit/>
        </w:trPr>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Trial class form sent</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Enquiry (main)</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GA4 key event</w:t>
            </w:r>
          </w:p>
        </w:tc>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Counted when the form is sent successfully</w:t>
            </w:r>
          </w:p>
        </w:tc>
      </w:tr>
      <w:tr>
        <w:trPr>
          <w:cantSplit/>
        </w:trPr>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 tap</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Enquiry</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GA4 key event</w:t>
            </w:r>
          </w:p>
        </w:tc>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Counts taps, not messages; reported separately from the form</w:t>
            </w:r>
          </w:p>
        </w:tc>
      </w:tr>
      <w:tr>
        <w:trPr>
          <w:cantSplit/>
        </w:trPr>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Call tap</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Enquiry (secondary)</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GA4 event, not a key event</w:t>
            </w:r>
          </w:p>
        </w:tc>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Counts taps, not calls; only the tap can be tracked</w:t>
            </w:r>
          </w:p>
        </w:tc>
      </w:tr>
      <w:tr>
        <w:trPr>
          <w:cantSplit/>
        </w:trPr>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Tap on the careers email link</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Job interest</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GA4 event</w:t>
            </w:r>
          </w:p>
        </w:tc>
        <w:tc>
          <w:tcPr>
            <w:tcW w:type="dxa" w:w="308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a key event</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Analytics in use today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GA4, page views only</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Search Console set up</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verified by the founder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Ad accounts that need the conversions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Meta ads during the enrolment period; no Google Ads yet</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reviews the numbers, and how often</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Centre manager, monthly</w:t>
            </w:r>
          </w:p>
        </w:tc>
      </w:tr>
    </w:tbl>
    <w:p>
      <w:pPr>
        <w:pStyle w:val="Heading2"/>
      </w:pPr>
      <w:r>
        <w:rPr>
          <w:rFonts w:ascii="Arial" w:cs="Arial" w:eastAsia="Arial" w:hAnsi="Arial"/>
        </w:rPr>
        <w:t xml:space="preserve">9. PDPA and accessibility</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700"/>
        <w:gridCol w:w="5600"/>
        <w:gridCol w:w="3338"/>
      </w:tblGrid>
      <w:tr>
        <w:trPr>
          <w:tblHeader/>
        </w:trPr>
        <w:tc>
          <w:tcPr>
            <w:tcW w:type="dxa" w:w="7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
            </w:r>
          </w:p>
        </w:tc>
        <w:tc>
          <w:tcPr>
            <w:tcW w:type="dxa" w:w="56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Check</w:t>
            </w:r>
          </w:p>
        </w:tc>
        <w:tc>
          <w:tcPr>
            <w:tcW w:type="dxa" w:w="333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Each form says what it collects and why, next to the submit button.</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one line next to the button</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Marketing messages have their own optional, unticked opt-in.</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 NRIC numbers collected, unless the law requires it or identity must be verified to a high degree of fidelity.</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no NRIC numbers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 know where form submissions are stored, who can see them and how long they are kept.</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Admin team only; kept while the class is arranged</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0"/>
                  <w14:checkedState w14:val="2612" w14:font="MS Gothic"/>
                  <w14:uncheckedState w14:val="2610" w14:font="MS Gothic"/>
                </w14:checkbox>
              </w:sdtPr>
              <w:sdtContent>
                <w:r>
                  <w:sym w:char="2610"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agency and the host, as data intermediaries, are covered by a written contract. You keep the same obligations for data they process for you.</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To do: ask the agency and host to confirm it in the contract</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privacy policy will be updated for the new site, including analytics and any ad tracking.</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agency to draft, founder to approve</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Accessibility target named: WCAG 2.2 level AA.</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WCAG 2.2 level AA</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Brand colours checked for text contrast.</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before design starts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sz w:val="19"/>
                <w:szCs w:val="19"/>
              </w:rPr>
              <w:t xml:space="preserve">n/a</w:t>
            </w:r>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Advertising rules for our sector checked, for example MOH rules for licensed clinics.</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applicable</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Forms on the site, and what each collects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Trial class form only: parent name, mobile, email, child's level, subject, centre and slot</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handles data protection in your company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founder</w:t>
            </w:r>
          </w:p>
        </w:tc>
      </w:tr>
    </w:tbl>
    <w:p>
      <w:pPr>
        <w:pStyle w:val="Heading2"/>
      </w:pPr>
      <w:r>
        <w:rPr>
          <w:rFonts w:ascii="Arial" w:cs="Arial" w:eastAsia="Arial" w:hAnsi="Arial"/>
        </w:rPr>
        <w:t xml:space="preserve">10. Budget and how to price options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Budget range or ceiling (or "shared on the first call")</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range is approved and will be shared on the first call</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to price options</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Core scope as one figure; Chinese pages and online payment of term fees as separate options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Grant you plan to apply for (if any)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None planned (no online shop)</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Running costs to show in the proposal</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Hosting or platform plan, paid apps, care plan: each per year, with who bills it</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Payment terms you prefer</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Staged against milestones</w:t>
            </w:r>
          </w:p>
        </w:tc>
      </w:tr>
    </w:tbl>
    <w:p>
      <w:pPr>
        <w:pStyle w:val="Heading2"/>
      </w:pPr>
      <w:r>
        <w:rPr>
          <w:rFonts w:ascii="Arial" w:cs="Arial" w:eastAsia="Arial" w:hAnsi="Arial"/>
        </w:rPr>
        <w:t xml:space="preserve">11. Timeline and decision makers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Target launch date, and why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Before enrolment for the new school year opens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Dates the team is unavailable</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centre manager is away for one week in December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Questions about this brief by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One week after the brief is sent</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Proposals due by</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Two weeks after the brief is sent</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506"/>
        <w:gridCol w:w="2506"/>
        <w:gridCol w:w="4626"/>
      </w:tblGrid>
      <w:tr>
        <w:trPr>
          <w:cantSplit/>
          <w:tblHeader/>
        </w:trPr>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Role</w:t>
            </w:r>
          </w:p>
        </w:tc>
        <w:tc>
          <w:tcPr>
            <w:tcW w:type="dxa" w:w="250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w:t>
            </w:r>
          </w:p>
        </w:tc>
        <w:tc>
          <w:tcPr>
            <w:tcW w:type="dxa" w:w="4626"/>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Responsible for</w:t>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Day-to-day contact</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Centre manager</w:t>
            </w:r>
          </w:p>
        </w:tc>
        <w:tc>
          <w:tcPr>
            <w:tcW w:type="dxa" w:w="462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Questions, weekly check-ins, content collection</w:t>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Content owner</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Centre manager</w:t>
            </w:r>
          </w:p>
        </w:tc>
        <w:tc>
          <w:tcPr>
            <w:tcW w:type="dxa" w:w="462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Programme pages, tutor profiles, centre pages</w:t>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Final approval</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Founder</w:t>
            </w:r>
          </w:p>
        </w:tc>
        <w:tc>
          <w:tcPr>
            <w:tcW w:type="dxa" w:w="462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Joins the first design review; signs off each stage</w:t>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Accounts and IT</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Founder</w:t>
            </w:r>
          </w:p>
        </w:tc>
        <w:tc>
          <w:tcPr>
            <w:tcW w:type="dxa" w:w="462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Domain, hosting, Search Console and GA4 access</w:t>
            </w:r>
          </w:p>
        </w:tc>
      </w:tr>
      <w:tr>
        <w:trPr>
          <w:cantSplit/>
        </w:trPr>
        <w:tc>
          <w:tcPr>
            <w:tcW w:type="dxa" w:w="2506"/>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Data protection</w:t>
            </w:r>
          </w:p>
        </w:tc>
        <w:tc>
          <w:tcPr>
            <w:tcW w:type="dxa" w:w="250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Founder</w:t>
            </w:r>
          </w:p>
        </w:tc>
        <w:tc>
          <w:tcPr>
            <w:tcW w:type="dxa" w:w="4626"/>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Privacy policy and form wording</w:t>
            </w:r>
          </w:p>
        </w:tc>
      </w:tr>
    </w:tbl>
    <w:p>
      <w:pPr>
        <w:pStyle w:val="Heading2"/>
      </w:pPr>
      <w:r>
        <w:rPr>
          <w:rFonts w:ascii="Arial" w:cs="Arial" w:eastAsia="Arial" w:hAnsi="Arial"/>
        </w:rPr>
        <w:t xml:space="preserve">12. What we want back in the proposal</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700"/>
        <w:gridCol w:w="5600"/>
        <w:gridCol w:w="3338"/>
      </w:tblGrid>
      <w:tr>
        <w:trPr>
          <w:tblHeader/>
        </w:trPr>
        <w:tc>
          <w:tcPr>
            <w:tcW w:type="dxa" w:w="7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
            </w:r>
          </w:p>
        </w:tc>
        <w:tc>
          <w:tcPr>
            <w:tcW w:type="dxa" w:w="56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Check</w:t>
            </w:r>
          </w:p>
        </w:tc>
        <w:tc>
          <w:tcPr>
            <w:tcW w:type="dxa" w:w="333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Pricing against the sections of this brief, with the core scope and each option on separate lines</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Assumptions and exclusions in writing, including the number of unique layouts and rounds of changes</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recommended platform, and why it suits our team</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plan for our current pages and redirects</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timeline with milestones, and what you need from us at each one</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names and roles of the people doing the work</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Running costs for each year, and who bills each one</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GST shown as included or added</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Confirmation that the domain, content, design files and accounts are ours</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sdt>
              <w:sdtPr>
                <w14:checkbox>
                  <w14:checked w14:val="1"/>
                  <w14:checkedState w14:val="2612" w14:font="MS Gothic"/>
                  <w14:uncheckedState w14:val="2610" w14:font="MS Gothic"/>
                </w14:checkbox>
              </w:sdtPr>
              <w:sdtContent>
                <w:r>
                  <w:sym w:char="2612" w:font="MS Gothic"/>
                </w:r>
              </w:sdtContent>
            </w:sdt>
          </w:p>
        </w:tc>
        <w:tc>
          <w:tcPr>
            <w:tcW w:type="dxa" w:w="56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Payment stages, and what we receive at each one</w:t>
            </w:r>
          </w:p>
        </w:tc>
        <w:tc>
          <w:tcPr>
            <w:tcW w:type="dxa" w:w="33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636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Item</w:t>
            </w:r>
          </w:p>
        </w:tc>
        <w:tc>
          <w:tcPr>
            <w:tcW w:type="dxa" w:w="636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Example answer</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Send proposals to</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The centre manager, by email</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Format (for example a PDF, then a call)</w:t>
            </w:r>
          </w:p>
        </w:tc>
        <w:tc>
          <w:tcPr>
            <w:tcW w:type="dxa" w:w="636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 PDF proposal, then a call with each shortlisted agency</w:t>
            </w:r>
          </w:p>
        </w:tc>
      </w:tr>
    </w:tbl>
    <w:sectPr>
      <w:footerReference w:type="default" r:id="rId6"/>
      <w:pgSz w:w="11906" w:h="16838" w:orient="portrait"/>
      <w:pgMar w:top="1134" w:right="1134" w:bottom="1134"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5CF" w:sz="4" w:space="6"/>
      </w:pBdr>
      <w:tabs>
        <w:tab w:val="right" w:pos="9638"/>
      </w:tabs>
    </w:pPr>
    <w:r>
      <w:rPr>
        <w:rFonts w:ascii="Arial" w:cs="Arial" w:eastAsia="Arial" w:hAnsi="Arial"/>
        <w:color w:val="5F5B55"/>
        <w:sz w:val="15"/>
        <w:szCs w:val="15"/>
      </w:rPr>
      <w:t xml:space="preserve">Website brief by JIN Design  ·  jin-design.com/resources/templates/website-brief-template/</w:t>
    </w:r>
    <w:r>
      <w:rPr>
        <w:rFonts w:ascii="Arial" w:cs="Arial" w:eastAsia="Arial" w:hAnsi="Arial"/>
        <w:color w:val="5F5B55"/>
        <w:sz w:val="15"/>
        <w:szCs w:val="15"/>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B0B0C"/>
        <w:sz w:val="20"/>
        <w:szCs w:val="20"/>
      </w:rPr>
    </w:rPrDefault>
    <w:pPrDefault>
      <w:pPr>
        <w:spacing w:line="276"/>
      </w:pPr>
    </w:pPrDefault>
  </w:docDefaults>
  <w:style w:type="paragraph" w:styleId="Title">
    <w:name w:val="Title"/>
    <w:basedOn w:val="Normal"/>
    <w:next w:val="Normal"/>
    <w:qFormat/>
    <w:pPr>
      <w:spacing w:after="120"/>
    </w:pPr>
    <w:rPr>
      <w:rFonts w:ascii="Arial" w:cs="Arial" w:eastAsia="Arial" w:hAnsi="Arial"/>
      <w:b/>
      <w:bCs/>
      <w:color w:val="0B0B0C"/>
      <w:sz w:val="52"/>
      <w:szCs w:val="52"/>
    </w:rPr>
  </w:style>
  <w:style w:type="paragraph" w:styleId="Heading1">
    <w:name w:val="Heading 1"/>
    <w:basedOn w:val="Normal"/>
    <w:next w:val="Normal"/>
    <w:qFormat/>
    <w:pPr>
      <w:keepNext/>
      <w:spacing w:before="360" w:after="160"/>
      <w:outlineLvl w:val="0"/>
    </w:pPr>
    <w:rPr>
      <w:rFonts w:ascii="Arial" w:cs="Arial" w:eastAsia="Arial" w:hAnsi="Arial"/>
      <w:b/>
      <w:bCs/>
      <w:color w:val="0B0B0C"/>
      <w:sz w:val="34"/>
      <w:szCs w:val="34"/>
    </w:rPr>
  </w:style>
  <w:style w:type="paragraph" w:styleId="Heading2">
    <w:name w:val="Heading 2"/>
    <w:basedOn w:val="Normal"/>
    <w:next w:val="Normal"/>
    <w:qFormat/>
    <w:pPr>
      <w:keepNext/>
      <w:pBdr>
        <w:bottom w:val="single" w:color="FF6A13" w:sz="8" w:space="4"/>
      </w:pBdr>
      <w:spacing w:before="320" w:after="100"/>
      <w:outlineLvl w:val="1"/>
    </w:pPr>
    <w:rPr>
      <w:rFonts w:ascii="Arial" w:cs="Arial" w:eastAsia="Arial" w:hAnsi="Arial"/>
      <w:b/>
      <w:bCs/>
      <w:color w:val="0B0B0C"/>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C2410C"/>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Guidance">
    <w:name w:val="Guidance"/>
    <w:basedOn w:val="Normal"/>
    <w:next w:val="Normal"/>
    <w:qFormat/>
    <w:pPr>
      <w:keepNext/>
      <w:spacing w:after="100"/>
    </w:pPr>
    <w:rPr>
      <w:rFonts w:ascii="Arial" w:cs="Arial" w:eastAsia="Arial" w:hAnsi="Arial"/>
      <w:i/>
      <w:iCs/>
      <w:color w:val="5F5B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c4pmnbwyi8z-92qzshbjz" Type="http://schemas.openxmlformats.org/officeDocument/2006/relationships/hyperlink" Target="https://jin-design.com/blog/website-brief-singapore/" TargetMode="External"/><Relationship Id="rId3p4y_ip3sgnpcmzi0nk-l" Type="http://schemas.openxmlformats.org/officeDocument/2006/relationships/hyperlink" Target="https://jin-design.com/resources/templates/website-brief-template/" TargetMode="External"/><Relationship Id="rIdgvadfjrrsnet0wsiblubm" Type="http://schemas.openxmlformats.org/officeDocument/2006/relationships/hyperlink" Target="https://developers.google.com/search/docs/crawling-indexing/site-move-with-url-changes" TargetMode="External"/><Relationship Id="rIdmvsqfmz-bfhtzcavnxscu" Type="http://schemas.openxmlformats.org/officeDocument/2006/relationships/hyperlink" Target="https://jin-design.com/resources/tools/sitemap-checker/" TargetMode="External"/><Relationship Id="rIdldtrb4nvtzyygcbi2vhl7" Type="http://schemas.openxmlformats.org/officeDocument/2006/relationships/hyperlink" Target="https://www.sgnic.sg/domain-registration/list-of-registrars" TargetMode="External"/><Relationship Id="rIdq7wsd34jflubzkxysv06a" Type="http://schemas.openxmlformats.org/officeDocument/2006/relationships/hyperlink" Target="https://support.google.com/analytics/answer/13965727" TargetMode="External"/><Relationship Id="rIdfme3d5zpmg05rsfkwk97j" Type="http://schemas.openxmlformats.org/officeDocument/2006/relationships/hyperlink" Target="https://www.pdpc.gov.sg/data-protection-obligations" TargetMode="External"/><Relationship Id="rIdrbqxbsiywaqimp1g6izii" Type="http://schemas.openxmlformats.org/officeDocument/2006/relationships/hyperlink" Target="https://www.pdpc.gov.sg/-/media/Files/PDPC/PDF-Files/Advisory-Guidelines/Advisory-Guidelines-for-NRIC-Numbers---310818.pdf" TargetMode="External"/><Relationship Id="rIdkq_sapwxhp11us-ldgggf" Type="http://schemas.openxmlformats.org/officeDocument/2006/relationships/hyperlink" Target="https://sso.agc.gov.sg/Act/PDPA2012" TargetMode="External"/><Relationship Id="rIdbpfkbylbyvxr11_kfi6ue" Type="http://schemas.openxmlformats.org/officeDocument/2006/relationships/hyperlink" Target="https://www.w3.org/TR/WCAG22/" TargetMode="External"/><Relationship Id="rIdeffekihupt2uwjfkbfmck" Type="http://schemas.openxmlformats.org/officeDocument/2006/relationships/hyperlink" Target="https://jin-design.com/resources/tools/contrast-checker/" TargetMode="External"/><Relationship Id="rId69dodu1l87l_ach7ncs31" Type="http://schemas.openxmlformats.org/officeDocument/2006/relationships/hyperlink" Target="https://sso.agc.gov.sg/SL/HSA2020-S1033-2021" TargetMode="External"/><Relationship Id="rId8uoluipsu5nk8m1-9s0qu" Type="http://schemas.openxmlformats.org/officeDocument/2006/relationships/hyperlink" Target="https://www.iras.gov.sg/taxes/goods-services-tax-(gst)/basics-of-gst/current-gst-rates" TargetMode="External"/><Relationship Id="rIdlvbmicqgmz0bzceryexo6" Type="http://schemas.openxmlformats.org/officeDocument/2006/relationships/hyperlink" Target="https://www.enterprisesg.gov.sg/financial-support/edge-grant/automation-and-digitalisation/single-function-solutions/e-commerce-online-shop" TargetMode="External"/><Relationship Id="rIdafjjlom0v5-ogor4s8trv" Type="http://schemas.openxmlformats.org/officeDocument/2006/relationships/hyperlink" Target="https://jin-design.com/resources/templates/website-scope-worksheet/" TargetMode="External"/><Relationship Id="rId2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JIN Design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brief</dc:title>
  <dc:subject>Describe a website project before asking agencies for quotes: goals, audience, pages, content, features, platform, migration, tracking, PDPA, budget, timeline and proposal requirements</dc:subject>
  <dc:creator>JIN Design</dc:creator>
  <cp:keywords>website brief, website brief template, website RFP, web design agency, Singapore, PDPA</cp:keywords>
  <dc:description>Free website brief from JIN Design, with guidance under every heading and a filled example for a fictional Singapore business.</dc:description>
  <cp:lastModifiedBy>JIN Design</cp:lastModifiedBy>
  <cp:revision>1</cp:revision>
  <dcterms:created xsi:type="dcterms:W3CDTF">2026-10-31T01:00:00Z</dcterms:created>
  <dcterms:modified xsi:type="dcterms:W3CDTF">2026-10-31T01:00:00Z</dcterms:modified>
</cp:coreProperties>
</file>

<file path=docProps/custom.xml><?xml version="1.0" encoding="utf-8"?>
<Properties xmlns="http://schemas.openxmlformats.org/officeDocument/2006/custom-properties" xmlns:vt="http://schemas.openxmlformats.org/officeDocument/2006/docPropsVTypes"/>
</file>