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FF6A13"/>
          <w:spacing w:val="40"/>
          <w:sz w:val="16"/>
          <w:szCs w:val="16"/>
        </w:rPr>
        <w:t xml:space="preserve">JIN DESIGN  ·  FREE TEMPLATE</w:t>
      </w:r>
    </w:p>
    <w:p>
      <w:pPr>
        <w:pStyle w:val="Title"/>
      </w:pPr>
      <w:r>
        <w:rPr>
          <w:rFonts w:ascii="Arial" w:cs="Arial" w:eastAsia="Arial" w:hAnsi="Arial"/>
        </w:rPr>
        <w:t xml:space="preserve">Landing page brief</w:t>
      </w:r>
    </w:p>
    <w:p>
      <w:pPr>
        <w:spacing w:after="120"/>
      </w:pPr>
      <w:r>
        <w:rPr>
          <w:rFonts w:ascii="Arial" w:cs="Arial" w:eastAsia="Arial" w:hAnsi="Arial"/>
          <w:color w:val="5F5B55"/>
          <w:sz w:val="22"/>
          <w:szCs w:val="22"/>
        </w:rPr>
        <w:t xml:space="preserve">Plan a landing page for a Google Ads campaign on one document: the goal, the audience, the promise in the ad, the page outline, the tracking plan, compliance notes and approvals.</w:t>
      </w:r>
    </w:p>
    <w:p>
      <w:pPr>
        <w:pStyle w:val="Heading1"/>
        <w:spacing w:before="200" w:after="100"/>
      </w:pPr>
      <w:r>
        <w:rPr>
          <w:rFonts w:ascii="Arial" w:cs="Arial" w:eastAsia="Arial" w:hAnsi="Arial"/>
        </w:rPr>
        <w:t xml:space="preserve">How to use this brief</w:t>
      </w:r>
    </w:p>
    <w:p>
      <w:pPr>
        <w:pStyle w:val="ListParagraph"/>
        <w:numPr>
          <w:ilvl w:val="0"/>
          <w:numId w:val="2"/>
        </w:numPr>
        <w:spacing w:after="60"/>
      </w:pPr>
      <w:r>
        <w:rPr>
          <w:rFonts w:ascii="Arial" w:cs="Arial" w:eastAsia="Arial" w:hAnsi="Arial"/>
        </w:rPr>
        <w:t xml:space="preserve">Fill in Part 1 for one campaign. The grey text under each heading explains what to write; delete it once filled in.</w:t>
      </w:r>
    </w:p>
    <w:p>
      <w:pPr>
        <w:pStyle w:val="ListParagraph"/>
        <w:numPr>
          <w:ilvl w:val="0"/>
          <w:numId w:val="2"/>
        </w:numPr>
        <w:spacing w:after="60"/>
      </w:pPr>
      <w:r>
        <w:rPr>
          <w:rFonts w:ascii="Arial" w:cs="Arial" w:eastAsia="Arial" w:hAnsi="Arial"/>
        </w:rPr>
        <w:t xml:space="preserve">Fill in sections 1 to 4 before anyone writes copy or designs. They decide what the page must say.</w:t>
      </w:r>
    </w:p>
    <w:p>
      <w:pPr>
        <w:pStyle w:val="ListParagraph"/>
        <w:numPr>
          <w:ilvl w:val="0"/>
          <w:numId w:val="2"/>
        </w:numPr>
        <w:spacing w:after="60"/>
      </w:pPr>
      <w:r>
        <w:rPr>
          <w:rFonts w:ascii="Arial" w:cs="Arial" w:eastAsia="Arial" w:hAnsi="Arial"/>
        </w:rPr>
        <w:t xml:space="preserve">Share the brief with whoever writes, designs, builds and tracks the page, and collect each approval in section 8.</w:t>
      </w:r>
    </w:p>
    <w:p>
      <w:pPr>
        <w:pStyle w:val="ListParagraph"/>
        <w:numPr>
          <w:ilvl w:val="0"/>
          <w:numId w:val="2"/>
        </w:numPr>
        <w:spacing w:after="60"/>
      </w:pPr>
      <w:r>
        <w:rPr>
          <w:rFonts w:ascii="Arial" w:cs="Arial" w:eastAsia="Arial" w:hAnsi="Arial"/>
        </w:rPr>
        <w:t xml:space="preserve">Part 2 is a filled example for a fictional Singapore business, Northwind Aircon. Use it to see the level of detail that helps.</w:t>
      </w:r>
    </w:p>
    <w:p>
      <w:pPr>
        <w:spacing w:before="120" w:after="60"/>
      </w:pPr>
      <w:r>
        <w:rPr>
          <w:rFonts w:ascii="Arial" w:cs="Arial" w:eastAsia="Arial" w:hAnsi="Arial"/>
          <w:color w:val="5F5B55"/>
          <w:sz w:val="19"/>
          <w:szCs w:val="19"/>
        </w:rPr>
        <w:t xml:space="preserve">The full guide, with sources: </w:t>
      </w:r>
      <w:hyperlink w:history="1" r:id="rIdkgfgt3gjcbhvrthcpklvz">
        <w:r>
          <w:rPr>
            <w:rStyle w:val="Hyperlink"/>
            <w:rFonts w:ascii="Arial" w:cs="Arial" w:eastAsia="Arial" w:hAnsi="Arial"/>
          </w:rPr>
          <w:t xml:space="preserve">Landing pages for Google Ads in Singapore</w:t>
        </w:r>
      </w:hyperlink>
    </w:p>
    <w:p>
      <w:pPr>
        <w:spacing w:after="120"/>
      </w:pPr>
      <w:r>
        <w:rPr>
          <w:rFonts w:ascii="Arial" w:cs="Arial" w:eastAsia="Arial" w:hAnsi="Arial"/>
          <w:color w:val="5F5B55"/>
          <w:sz w:val="17"/>
          <w:szCs w:val="17"/>
        </w:rPr>
        <w:t xml:space="preserve">Free to use for your own website and for websites you manage for clients; please do not resell the file. </w:t>
      </w:r>
      <w:hyperlink w:history="1" r:id="rIdud1vnqqkpxocj_altk0-v">
        <w:r>
          <w:rPr>
            <w:rStyle w:val="Hyperlink"/>
            <w:rFonts w:ascii="Arial" w:cs="Arial" w:eastAsia="Arial" w:hAnsi="Arial"/>
          </w:rPr>
          <w:t xml:space="preserve">jin-design.com/resources/templates/landing-page-brief/</w:t>
        </w:r>
      </w:hyperlink>
    </w:p>
    <w:p>
      <w:pPr>
        <w:pStyle w:val="Heading1"/>
      </w:pPr>
      <w:r>
        <w:rPr>
          <w:rFonts w:ascii="Arial" w:cs="Arial" w:eastAsia="Arial" w:hAnsi="Arial"/>
        </w:rPr>
        <w:t xml:space="preserve">Part 1: Your landing page brief</w:t>
      </w:r>
    </w:p>
    <w:p>
      <w:pPr>
        <w:pStyle w:val="Heading2"/>
      </w:pPr>
      <w:r>
        <w:rPr>
          <w:rFonts w:ascii="Arial" w:cs="Arial" w:eastAsia="Arial" w:hAnsi="Arial"/>
        </w:rPr>
        <w:t xml:space="preserve">1. Campaign goal and conversion</w:t>
      </w:r>
    </w:p>
    <w:p>
      <w:pPr>
        <w:pStyle w:val="Guidance"/>
      </w:pPr>
      <w:r>
        <w:rPr>
          <w:rFonts w:ascii="Arial" w:cs="Arial" w:eastAsia="Arial" w:hAnsi="Arial"/>
        </w:rPr>
        <w:t xml:space="preserve">Name one campaign and the one action you want visitors to take. If a page has to serve two goals, it usually needs to be two pages.</w:t>
      </w:r>
    </w:p>
    <w:p>
      <w:pPr>
        <w:pStyle w:val="Guidance"/>
      </w:pPr>
      <w:r>
        <w:rPr>
          <w:rFonts w:ascii="Arial" w:cs="Arial" w:eastAsia="Arial" w:hAnsi="Arial"/>
        </w:rPr>
        <w:t xml:space="preserve">Google Ads uses primary conversion actions for bidding, as long as the campaign uses the goal that contains them. Make the primary conversion the most reliable signal you have, usually a submitted form. Taps on WhatsApp or call buttons count a tap, not a message or a call, so start them as secondary conversions.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6554"/>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Item</w:t>
            </w:r>
          </w:p>
        </w:tc>
        <w:tc>
          <w:tcPr>
            <w:tcW w:type="dxa" w:w="655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Your answer</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Campaign name</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Business goal for this campaign</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Primary conversion (one)</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Secondary conversions</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Landing page URL</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Launch date</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Brief owner</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2. Audience</w:t>
      </w:r>
    </w:p>
    <w:p>
      <w:pPr>
        <w:pStyle w:val="Guidance"/>
      </w:pPr>
      <w:r>
        <w:rPr>
          <w:rFonts w:ascii="Arial" w:cs="Arial" w:eastAsia="Arial" w:hAnsi="Arial"/>
        </w:rPr>
        <w:t xml:space="preserve">Describe the person behind the search, in their situation at the moment they search. What has just happened, what do they need to know before they contact you, and what would make them leave?</w:t>
      </w:r>
    </w:p>
    <w:p>
      <w:pPr>
        <w:pStyle w:val="Guidance"/>
      </w:pPr>
      <w:r>
        <w:rPr>
          <w:rFonts w:ascii="Arial" w:cs="Arial" w:eastAsia="Arial" w:hAnsi="Arial"/>
        </w:rPr>
        <w:t xml:space="preserve">Note the language, and check the device split for this campaign in Google Ads. Plan the first screen for the device most clicks come from.</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6554"/>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Item</w:t>
            </w:r>
          </w:p>
        </w:tc>
        <w:tc>
          <w:tcPr>
            <w:tcW w:type="dxa" w:w="655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Your answer</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 is searching</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Their situation when they search</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they need to know before contacting you</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might stop them</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Device and language</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How they prefer to contact a business</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3. Keyword and ad group themes</w:t>
      </w:r>
    </w:p>
    <w:p>
      <w:pPr>
        <w:pStyle w:val="Guidance"/>
      </w:pPr>
      <w:r>
        <w:rPr>
          <w:rFonts w:ascii="Arial" w:cs="Arial" w:eastAsia="Arial" w:hAnsi="Arial"/>
        </w:rPr>
        <w:t xml:space="preserve">List each ad group that will send traffic to this page, with a few example keywords and the intent behind them. If two ad groups need different first screens, give them different pages or page versions.</w:t>
      </w:r>
    </w:p>
    <w:p>
      <w:pPr>
        <w:pStyle w:val="Guidance"/>
      </w:pPr>
      <w:r>
        <w:rPr>
          <w:rFonts w:ascii="Arial" w:cs="Arial" w:eastAsia="Arial" w:hAnsi="Arial"/>
        </w:rPr>
        <w:t xml:space="preserve">Check that every theme can be answered by this page. Search terms the page does not answer become negative keywords or a new ad group.</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1928"/>
        <w:gridCol w:w="2891"/>
        <w:gridCol w:w="2699"/>
        <w:gridCol w:w="2120"/>
      </w:tblGrid>
      <w:tr>
        <w:trPr>
          <w:cantSplit/>
          <w:tblHeader/>
        </w:trPr>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Ad group</w:t>
            </w:r>
          </w:p>
        </w:tc>
        <w:tc>
          <w:tcPr>
            <w:tcW w:type="dxa" w:w="289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Example keywords</w:t>
            </w:r>
          </w:p>
        </w:tc>
        <w:tc>
          <w:tcPr>
            <w:tcW w:type="dxa" w:w="2699"/>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What the searcher wants</w:t>
            </w:r>
          </w:p>
        </w:tc>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Page or section it lands on</w:t>
            </w:r>
          </w:p>
        </w:tc>
      </w:tr>
      <w:tr>
        <w:trPr>
          <w:cantSplit/>
        </w:trPr>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699"/>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699"/>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699"/>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4. The promise in the ad, and how the page keeps it</w:t>
      </w:r>
    </w:p>
    <w:p>
      <w:pPr>
        <w:pStyle w:val="Guidance"/>
      </w:pPr>
      <w:r>
        <w:rPr>
          <w:rFonts w:ascii="Arial" w:cs="Arial" w:eastAsia="Arial" w:hAnsi="Arial"/>
        </w:rPr>
        <w:t xml:space="preserve">Write down every promise the ad makes: the service, a speed, an area, an offer, a call to action. Then say exactly where the page repeats it and how you prove it. Google advises matching the page to the ad's promise, repeating the ad's call to action and placing key information near the top.</w:t>
      </w:r>
    </w:p>
    <w:p>
      <w:pPr>
        <w:pStyle w:val="Guidance"/>
      </w:pPr>
      <w:r>
        <w:rPr>
          <w:rFonts w:ascii="Arial" w:cs="Arial" w:eastAsia="Arial" w:hAnsi="Arial"/>
        </w:rPr>
        <w:t xml:space="preserve">Every claim must be true on launch day. If the ad says "same-week slots", operations must confirm the capacity.</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3181"/>
        <w:gridCol w:w="318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The ad says</w:t>
            </w:r>
          </w:p>
        </w:tc>
        <w:tc>
          <w:tcPr>
            <w:tcW w:type="dxa" w:w="318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Where the page repeats it</w:t>
            </w:r>
          </w:p>
        </w:tc>
        <w:tc>
          <w:tcPr>
            <w:tcW w:type="dxa" w:w="318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How the page proves it</w:t>
            </w:r>
          </w:p>
        </w:tc>
      </w:tr>
      <w:tr>
        <w:trPr>
          <w:cantSplit/>
        </w:trPr>
        <w:tc>
          <w:tcPr>
            <w:tcW w:type="dxa" w:w="3277"/>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18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18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18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18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18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18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277"/>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18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318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5. Page outline</w:t>
      </w:r>
    </w:p>
    <w:p>
      <w:pPr>
        <w:pStyle w:val="Guidance"/>
      </w:pPr>
      <w:r>
        <w:rPr>
          <w:rFonts w:ascii="Arial" w:cs="Arial" w:eastAsia="Arial" w:hAnsi="Arial"/>
        </w:rPr>
        <w:t xml:space="preserve">Plan the page from top to bottom. The first screen on a phone should carry the headline, a supporting line, the main button and a short trust line, with no need to scroll.</w:t>
      </w:r>
    </w:p>
    <w:p>
      <w:pPr>
        <w:pStyle w:val="Guidance"/>
      </w:pPr>
      <w:r>
        <w:rPr>
          <w:rFonts w:ascii="Arial" w:cs="Arial" w:eastAsia="Arial" w:hAnsi="Arial"/>
        </w:rPr>
        <w:t xml:space="preserve">Offer two contact options at most and make one of them the main button. Pre-fill the WhatsApp message with a short campaign reference so your team can see which ad a chat came from. Show opening hours next to a call button.</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6554"/>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Item</w:t>
            </w:r>
          </w:p>
        </w:tc>
        <w:tc>
          <w:tcPr>
            <w:tcW w:type="dxa" w:w="655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Your answer</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headline (repeats the ad)</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supporting line</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main button</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second option</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trust line</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Proof</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The offer: what is included</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Objections and answers</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FAQ (3 to 6 questions)</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Form fields (only what you need to reply)</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WhatsApp pre-filled message</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Call button and hours</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Thank-you page or message</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6. Tracking plan</w:t>
      </w:r>
    </w:p>
    <w:p>
      <w:pPr>
        <w:pStyle w:val="Guidance"/>
      </w:pPr>
      <w:r>
        <w:rPr>
          <w:rFonts w:ascii="Arial" w:cs="Arial" w:eastAsia="Arial" w:hAnsi="Arial"/>
        </w:rPr>
        <w:t xml:space="preserve">Set up and test tracking before the campaign spends anything. Keep auto-tagging on in Google Ads and link it to GA4. Use one GA4 event per contact option, mark the enquiry events as key events, then create Google Ads conversions from them.</w:t>
      </w:r>
    </w:p>
    <w:p>
      <w:pPr>
        <w:pStyle w:val="Guidance"/>
      </w:pPr>
      <w:r>
        <w:rPr>
          <w:rFonts w:ascii="Arial" w:cs="Arial" w:eastAsia="Arial" w:hAnsi="Arial"/>
        </w:rPr>
        <w:t xml:space="preserve">Fire the form event when the submission succeeds, not when the button is pressed. GA4's recommended event for a lead is generate_lead. Turn on enhanced conversions for the form if your privacy policy covers it, and plan how enquiries that become customers will be imported later.</w:t>
      </w:r>
    </w:p>
    <w:p>
      <w:pPr>
        <w:pStyle w:val="Guidance"/>
      </w:pPr>
      <w:r>
        <w:rPr>
          <w:rFonts w:ascii="Arial" w:cs="Arial" w:eastAsia="Arial" w:hAnsi="Arial"/>
        </w:rPr>
        <w:t xml:space="preserve">Singapore is not on Google's list of countries where Google forwarding numbers are available (checked October 2026), so Google Ads can count taps on your phone number but not the calls. Log the calls and chats you receive to compare.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120"/>
        <w:gridCol w:w="1735"/>
        <w:gridCol w:w="964"/>
        <w:gridCol w:w="1928"/>
        <w:gridCol w:w="1349"/>
        <w:gridCol w:w="1542"/>
      </w:tblGrid>
      <w:tr>
        <w:trPr>
          <w:cantSplit/>
          <w:tblHeader/>
        </w:trPr>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Action on the page</w:t>
            </w:r>
          </w:p>
        </w:tc>
        <w:tc>
          <w:tcPr>
            <w:tcW w:type="dxa" w:w="1735"/>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GA4 event name</w:t>
            </w:r>
          </w:p>
        </w:tc>
        <w:tc>
          <w:tcPr>
            <w:tcW w:type="dxa" w:w="96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Key event?</w:t>
            </w:r>
          </w:p>
        </w:tc>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Google Ads conversion</w:t>
            </w:r>
          </w:p>
        </w:tc>
        <w:tc>
          <w:tcPr>
            <w:tcW w:type="dxa" w:w="1349"/>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Primary or secondary</w:t>
            </w:r>
          </w:p>
        </w:tc>
        <w:tc>
          <w:tcPr>
            <w:tcW w:type="dxa" w:w="1542"/>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How it was tested</w:t>
            </w:r>
          </w:p>
        </w:tc>
      </w:tr>
      <w:tr>
        <w:trPr>
          <w:cantSplit/>
        </w:trPr>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96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349"/>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96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349"/>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96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349"/>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2120"/>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96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928"/>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349"/>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542"/>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6554"/>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Item</w:t>
            </w:r>
          </w:p>
        </w:tc>
        <w:tc>
          <w:tcPr>
            <w:tcW w:type="dxa" w:w="655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Your answer</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Auto-tagging and GA4 link checked</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UTM tags for links outside Google Ads</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Enhanced conversions (form)</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Import of won customers</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Where the team logs calls and chats</w:t>
            </w:r>
          </w:p>
        </w:tc>
        <w:tc>
          <w:tcPr>
            <w:tcW w:type="dxa" w:w="6554"/>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7. Compliance notes</w:t>
      </w:r>
    </w:p>
    <w:p>
      <w:pPr>
        <w:pStyle w:val="Guidance"/>
      </w:pPr>
      <w:r>
        <w:rPr>
          <w:rFonts w:ascii="Arial" w:cs="Arial" w:eastAsia="Arial" w:hAnsi="Arial"/>
        </w:rPr>
        <w:t xml:space="preserve">Check these before the page is designed, because they change what the page may show. This is general guidance, not legal advice.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700"/>
        <w:gridCol w:w="8938"/>
      </w:tblGrid>
      <w:tr>
        <w:trPr>
          <w:tblHeader/>
        </w:trPr>
        <w:tc>
          <w:tcPr>
            <w:tcW w:type="dxa" w:w="70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
            </w:r>
          </w:p>
        </w:tc>
        <w:tc>
          <w:tcPr>
            <w:tcW w:type="dxa" w:w="893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Check</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PDPA notice next to the form: what you collect and why (PDPC notification and consent obligations)</w:t>
            </w:r>
            <w:r>
              <w:rPr>
                <w:rFonts w:ascii="Arial" w:cs="Arial" w:eastAsia="Arial" w:hAnsi="Arial"/>
                <w:sz w:val="19"/>
                <w:szCs w:val="19"/>
              </w:rPr>
              <w:t xml:space="preserve"> Source: </w:t>
            </w:r>
            <w:hyperlink w:history="1" r:id="rIdjerna5qr1ba2chv3aqkn7">
              <w:r>
                <w:rPr>
                  <w:rStyle w:val="Hyperlink"/>
                  <w:rFonts w:ascii="Arial" w:cs="Arial" w:eastAsia="Arial" w:hAnsi="Arial"/>
                </w:rPr>
                <w:t xml:space="preserve">PDPC obligations</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Separate, optional, unticked opt-in for marketing messages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Marketing calls and texts to Singapore numbers checked against the Do Not Call Registry, unless the person gave clear and unambiguous consent. Messages whose only purpose relates to an ongoing relationship, such as a membership or account, are outside the DNC rules; a one-off purchase is not an ongoing relationship</w:t>
            </w:r>
            <w:r>
              <w:rPr>
                <w:rFonts w:ascii="Arial" w:cs="Arial" w:eastAsia="Arial" w:hAnsi="Arial"/>
                <w:sz w:val="19"/>
                <w:szCs w:val="19"/>
              </w:rPr>
              <w:t xml:space="preserve"> Source: </w:t>
            </w:r>
            <w:hyperlink w:history="1" r:id="rIdti4rqeb7ruh9dna-fqksz">
              <w:r>
                <w:rPr>
                  <w:rStyle w:val="Hyperlink"/>
                  <w:rFonts w:ascii="Arial" w:cs="Arial" w:eastAsia="Arial" w:hAnsi="Arial"/>
                </w:rPr>
                <w:t xml:space="preserve">PDPC guide to the DNC provisions</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No NRIC numbers collected</w:t>
            </w:r>
            <w:r>
              <w:rPr>
                <w:rFonts w:ascii="Arial" w:cs="Arial" w:eastAsia="Arial" w:hAnsi="Arial"/>
                <w:sz w:val="19"/>
                <w:szCs w:val="19"/>
              </w:rPr>
              <w:t xml:space="preserve"> Source: </w:t>
            </w:r>
            <w:hyperlink w:history="1" r:id="rIdsmw0nlphnfgo8ses2qhkv">
              <w:r>
                <w:rPr>
                  <w:rStyle w:val="Hyperlink"/>
                  <w:rFonts w:ascii="Arial" w:cs="Arial" w:eastAsia="Arial" w:hAnsi="Arial"/>
                </w:rPr>
                <w:t xml:space="preserve">PDPC NRIC advisory guidelines</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Privacy policy explains any hashed data sent to Google Ads or Meta</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Healthcare: MOH Healthcare Services (Advertisement) Regulations 2021 checked: no before-and-after or after-only photos, superlatives or comparisons, nothing that solicits or encourages use (reg 5); reviews, testimonials and endorsements only as reg 14 allows (given directly, unpaid, not substantively edited); no push messages such as SMS or WhatsApp without prior written consent (reg 6(4))</w:t>
            </w:r>
            <w:r>
              <w:rPr>
                <w:rFonts w:ascii="Arial" w:cs="Arial" w:eastAsia="Arial" w:hAnsi="Arial"/>
                <w:sz w:val="19"/>
                <w:szCs w:val="19"/>
              </w:rPr>
              <w:t xml:space="preserve"> Source: </w:t>
            </w:r>
            <w:hyperlink w:history="1" r:id="rIdii-6gzhn0oddnr9lkxowo">
              <w:r>
                <w:rPr>
                  <w:rStyle w:val="Hyperlink"/>
                  <w:rFonts w:ascii="Arial" w:cs="Arial" w:eastAsia="Arial" w:hAnsi="Arial"/>
                </w:rPr>
                <w:t xml:space="preserve">Regulations on Singapore Statutes Online</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Financial services: advertiser verified by Google for Singapore before launch</w:t>
            </w:r>
            <w:r>
              <w:rPr>
                <w:rFonts w:ascii="Arial" w:cs="Arial" w:eastAsia="Arial" w:hAnsi="Arial"/>
                <w:sz w:val="19"/>
                <w:szCs w:val="19"/>
              </w:rPr>
              <w:t xml:space="preserve"> Source: </w:t>
            </w:r>
            <w:hyperlink w:history="1" r:id="rIdrzzzxqzlxuh__60rs5ooo">
              <w:r>
                <w:rPr>
                  <w:rStyle w:val="Hyperlink"/>
                  <w:rFonts w:ascii="Arial" w:cs="Arial" w:eastAsia="Arial" w:hAnsi="Arial"/>
                </w:rPr>
                <w:t xml:space="preserve">Google financial services verification, Singapore</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Property: CEA particulars shown (salesperson name and registration number, estate agent name and licence number, registered contact number) and owner's consent held</w:t>
            </w:r>
            <w:r>
              <w:rPr>
                <w:rFonts w:ascii="Arial" w:cs="Arial" w:eastAsia="Arial" w:hAnsi="Arial"/>
                <w:sz w:val="19"/>
                <w:szCs w:val="19"/>
              </w:rPr>
              <w:t xml:space="preserve"> Source: </w:t>
            </w:r>
            <w:hyperlink w:history="1" r:id="rIdo4nesmeaptwg2sfvu9rpb">
              <w:r>
                <w:rPr>
                  <w:rStyle w:val="Hyperlink"/>
                  <w:rFonts w:ascii="Arial" w:cs="Arial" w:eastAsia="Arial" w:hAnsi="Arial"/>
                </w:rPr>
                <w:t xml:space="preserve">CEA practice guidelines (PG 02-11)</w:t>
              </w:r>
            </w:hyperlink>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Every claim on the page can be substantiated on launch day</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8938"/>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Photos and logos are your own or licensed</w:t>
            </w:r>
          </w:p>
        </w:tc>
      </w:tr>
    </w:tbl>
    <w:p>
      <w:pPr>
        <w:pStyle w:val="Guidance"/>
      </w:pPr>
      <w:r>
        <w:rPr>
          <w:rFonts w:ascii="Arial" w:cs="Arial" w:eastAsia="Arial" w:hAnsi="Arial"/>
        </w:rPr>
        <w:t xml:space="preserve">Add any other rule your sector follows: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855"/>
        <w:gridCol w:w="5783"/>
      </w:tblGrid>
      <w:tr>
        <w:trPr>
          <w:cantSplit/>
          <w:tblHeader/>
        </w:trPr>
        <w:tc>
          <w:tcPr>
            <w:tcW w:type="dxa" w:w="3855"/>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Rule</w:t>
            </w:r>
          </w:p>
        </w:tc>
        <w:tc>
          <w:tcPr>
            <w:tcW w:type="dxa" w:w="5783"/>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What it means for this page</w:t>
            </w:r>
          </w:p>
        </w:tc>
      </w:tr>
      <w:tr>
        <w:trPr>
          <w:cantSplit/>
        </w:trPr>
        <w:tc>
          <w:tcPr>
            <w:tcW w:type="dxa" w:w="385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578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r>
        <w:trPr>
          <w:cantSplit/>
        </w:trPr>
        <w:tc>
          <w:tcPr>
            <w:tcW w:type="dxa" w:w="385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5783"/>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r>
    </w:tbl>
    <w:p>
      <w:pPr>
        <w:pStyle w:val="Heading2"/>
      </w:pPr>
      <w:r>
        <w:rPr>
          <w:rFonts w:ascii="Arial" w:cs="Arial" w:eastAsia="Arial" w:hAnsi="Arial"/>
        </w:rPr>
        <w:t xml:space="preserve">8. Approvals</w:t>
      </w:r>
    </w:p>
    <w:p>
      <w:pPr>
        <w:pStyle w:val="Guidance"/>
      </w:pPr>
      <w:r>
        <w:rPr>
          <w:rFonts w:ascii="Arial" w:cs="Arial" w:eastAsia="Arial" w:hAnsi="Arial"/>
        </w:rPr>
        <w:t xml:space="preserve">Name one person to approve each stage, and do not move to the next stage without it. The tracking test and the compliance check are the two most often skipped.</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2891"/>
        <w:gridCol w:w="1735"/>
        <w:gridCol w:w="1735"/>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Stage</w:t>
            </w:r>
          </w:p>
        </w:tc>
        <w:tc>
          <w:tcPr>
            <w:tcW w:type="dxa" w:w="289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Name and role</w:t>
            </w:r>
          </w:p>
        </w:tc>
        <w:tc>
          <w:tcPr>
            <w:tcW w:type="dxa" w:w="1735"/>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Date</w:t>
            </w:r>
          </w:p>
        </w:tc>
        <w:tc>
          <w:tcPr>
            <w:tcW w:type="dxa" w:w="1735"/>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Approved</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Brief</w:t>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Copy</w:t>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Design</w:t>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Build checked on a phone</w:t>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Tracking tested (each conversion)</w:t>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Compliance check</w:t>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Go live</w:t>
            </w:r>
          </w:p>
        </w:tc>
        <w:tc>
          <w:tcPr>
            <w:tcW w:type="dxa" w:w="2891"/>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
            </w:r>
          </w:p>
        </w:tc>
        <w:tc>
          <w:tcPr>
            <w:tcW w:type="dxa" w:w="1735"/>
            <w:tcBorders>
              <w:top w:val="single" w:color="D9D5CF" w:sz="4"/>
              <w:left w:val="single" w:color="D9D5CF" w:sz="4"/>
              <w:bottom w:val="single" w:color="D9D5CF" w:sz="4"/>
              <w:right w:val="single" w:color="D9D5CF" w:sz="4"/>
            </w:tcBorders>
            <w:shd w:fill="FFFBEF" w:color="auto" w:val="clear"/>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r>
    </w:tbl>
    <w:p>
      <w:r>
        <w:br w:type="page"/>
      </w:r>
    </w:p>
    <w:p>
      <w:pPr>
        <w:pStyle w:val="Heading1"/>
      </w:pPr>
      <w:r>
        <w:rPr>
          <w:rFonts w:ascii="Arial" w:cs="Arial" w:eastAsia="Arial" w:hAnsi="Arial"/>
        </w:rPr>
        <w:t xml:space="preserve">Part 2: Filled example</w:t>
      </w:r>
    </w:p>
    <w:p>
      <w:pPr>
        <w:pStyle w:val="Guidance"/>
      </w:pPr>
      <w:r>
        <w:rPr>
          <w:rFonts w:ascii="Arial" w:cs="Arial" w:eastAsia="Arial" w:hAnsi="Arial"/>
        </w:rPr>
        <w:t xml:space="preserve">Northwind Aircon is a fictional aircon servicing company in Singapore, used only to show how a finished brief reads. Its web address is a placeholder. There are no prices in this example: add your own if your ad mentions one, and make sure the page shows the same figure.</w:t>
      </w:r>
    </w:p>
    <w:p>
      <w:pPr>
        <w:pStyle w:val="Heading2"/>
      </w:pPr>
      <w:r>
        <w:rPr>
          <w:rFonts w:ascii="Arial" w:cs="Arial" w:eastAsia="Arial" w:hAnsi="Arial"/>
        </w:rPr>
        <w:t xml:space="preserve">1. Campaign goal and conversion</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6554"/>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Item</w:t>
            </w:r>
          </w:p>
        </w:tc>
        <w:tc>
          <w:tcPr>
            <w:tcW w:type="dxa" w:w="655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Example answer</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Campaign name</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Search: Chemical wash</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Business goal for this campaign</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Fill chemical wash slots on weekdays with booked jobs in residential homes</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Primary conversion (one)</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Booking request form sent (GA4 generate_lead on the thank-you message)</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Secondary conversions</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WhatsApp tap (whatsapp_click), call tap (phone_click)</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Landing page URL</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northwind-aircon.example/chemical-wash/ (fictional)</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Launch date</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Monday after the tracking test passes</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Brief owner</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Operations lead</w:t>
            </w:r>
          </w:p>
        </w:tc>
      </w:tr>
    </w:tbl>
    <w:p>
      <w:pPr>
        <w:pStyle w:val="Heading2"/>
      </w:pPr>
      <w:r>
        <w:rPr>
          <w:rFonts w:ascii="Arial" w:cs="Arial" w:eastAsia="Arial" w:hAnsi="Arial"/>
        </w:rPr>
        <w:t xml:space="preserve">2. Audience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6554"/>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Item</w:t>
            </w:r>
          </w:p>
        </w:tc>
        <w:tc>
          <w:tcPr>
            <w:tcW w:type="dxa" w:w="655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Example answer</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Who is searching</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Homeowners and tenants in HDB flats and condos with wall-mounted units</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Their situation when they search</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Units are weaker or smelly; they have had general servicing and want a deeper clean</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they need to know before contacting you</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What a chemical wash includes, how long it takes per unit, which unit types, how soon a slot is available</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 might stop them</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sure if they need a chemical wash or a repair; worried about mess in the home</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Device and language</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Mostly phones in the Google Ads device report; English</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How they prefer to contact a business</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WhatsApp with a photo of the unit, or the booking form for a fixed slot</w:t>
            </w:r>
          </w:p>
        </w:tc>
      </w:tr>
    </w:tbl>
    <w:p>
      <w:pPr>
        <w:pStyle w:val="Heading2"/>
      </w:pPr>
      <w:r>
        <w:rPr>
          <w:rFonts w:ascii="Arial" w:cs="Arial" w:eastAsia="Arial" w:hAnsi="Arial"/>
        </w:rPr>
        <w:t xml:space="preserve">3. Keyword and ad group themes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1928"/>
        <w:gridCol w:w="2891"/>
        <w:gridCol w:w="2699"/>
        <w:gridCol w:w="2120"/>
      </w:tblGrid>
      <w:tr>
        <w:trPr>
          <w:cantSplit/>
          <w:tblHeader/>
        </w:trPr>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Ad group</w:t>
            </w:r>
          </w:p>
        </w:tc>
        <w:tc>
          <w:tcPr>
            <w:tcW w:type="dxa" w:w="289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Example keywords</w:t>
            </w:r>
          </w:p>
        </w:tc>
        <w:tc>
          <w:tcPr>
            <w:tcW w:type="dxa" w:w="2699"/>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What the searcher wants</w:t>
            </w:r>
          </w:p>
        </w:tc>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Page or section it lands on</w:t>
            </w:r>
          </w:p>
        </w:tc>
      </w:tr>
      <w:tr>
        <w:trPr>
          <w:cantSplit/>
        </w:trPr>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Chemical wash</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aircon chemical wash; chemical wash aircon singapore</w:t>
            </w:r>
          </w:p>
        </w:tc>
        <w:tc>
          <w:tcPr>
            <w:tcW w:type="dxa" w:w="2699"/>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Wants the service and a slot</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Whole page</w:t>
            </w:r>
          </w:p>
        </w:tc>
      </w:tr>
      <w:tr>
        <w:trPr>
          <w:cantSplit/>
        </w:trPr>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Chemical overhaul</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aircon chemical overhaul; chemical overhaul vs chemical wash</w:t>
            </w:r>
          </w:p>
        </w:tc>
        <w:tc>
          <w:tcPr>
            <w:tcW w:type="dxa" w:w="2699"/>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sure which service they need</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"Wash or overhaul?" section, linked from the first screen</w:t>
            </w:r>
          </w:p>
        </w:tc>
      </w:tr>
      <w:tr>
        <w:trPr>
          <w:cantSplit/>
        </w:trPr>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Aircon smell</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aircon smells; aircon mouldy smell</w:t>
            </w:r>
          </w:p>
        </w:tc>
        <w:tc>
          <w:tcPr>
            <w:tcW w:type="dxa" w:w="2699"/>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Has a symptom, open to a clean</w:t>
            </w:r>
          </w:p>
        </w:tc>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Separate page planned; not this one</w:t>
            </w:r>
          </w:p>
        </w:tc>
      </w:tr>
    </w:tbl>
    <w:p>
      <w:pPr>
        <w:pStyle w:val="Heading2"/>
      </w:pPr>
      <w:r>
        <w:rPr>
          <w:rFonts w:ascii="Arial" w:cs="Arial" w:eastAsia="Arial" w:hAnsi="Arial"/>
        </w:rPr>
        <w:t xml:space="preserve">4. The promise in the ad, and how the page keeps it</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3181"/>
        <w:gridCol w:w="3181"/>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The ad says</w:t>
            </w:r>
          </w:p>
        </w:tc>
        <w:tc>
          <w:tcPr>
            <w:tcW w:type="dxa" w:w="318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Where the page repeats it</w:t>
            </w:r>
          </w:p>
        </w:tc>
        <w:tc>
          <w:tcPr>
            <w:tcW w:type="dxa" w:w="318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How the page proves it</w:t>
            </w:r>
          </w:p>
        </w:tc>
      </w:tr>
      <w:tr>
        <w:trPr>
          <w:cantSplit/>
        </w:trPr>
        <w:tc>
          <w:tcPr>
            <w:tcW w:type="dxa" w:w="3277"/>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Aircon chemical wash</w:t>
            </w:r>
          </w:p>
        </w:tc>
        <w:tc>
          <w:tcPr>
            <w:tcW w:type="dxa" w:w="318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Headline: "Aircon chemical wash, booked this week"</w:t>
            </w:r>
          </w:p>
        </w:tc>
        <w:tc>
          <w:tcPr>
            <w:tcW w:type="dxa" w:w="318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List of what the wash covers, step by step</w:t>
            </w:r>
          </w:p>
        </w:tc>
      </w:tr>
      <w:tr>
        <w:trPr>
          <w:cantSplit/>
        </w:trPr>
        <w:tc>
          <w:tcPr>
            <w:tcW w:type="dxa" w:w="3277"/>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Same-week slots</w:t>
            </w:r>
          </w:p>
        </w:tc>
        <w:tc>
          <w:tcPr>
            <w:tcW w:type="dxa" w:w="318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Supporting line and the booking form's date picker</w:t>
            </w:r>
          </w:p>
        </w:tc>
        <w:tc>
          <w:tcPr>
            <w:tcW w:type="dxa" w:w="318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Operations confirm capacity every Friday; ad paused if full</w:t>
            </w:r>
          </w:p>
        </w:tc>
      </w:tr>
      <w:tr>
        <w:trPr>
          <w:cantSplit/>
        </w:trPr>
        <w:tc>
          <w:tcPr>
            <w:tcW w:type="dxa" w:w="3277"/>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Book online or WhatsApp us</w:t>
            </w:r>
          </w:p>
        </w:tc>
        <w:tc>
          <w:tcPr>
            <w:tcW w:type="dxa" w:w="318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Main button "Book a slot"; second button "WhatsApp a photo"</w:t>
            </w:r>
          </w:p>
        </w:tc>
        <w:tc>
          <w:tcPr>
            <w:tcW w:type="dxa" w:w="318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Both buttons visible on a phone without scrolling</w:t>
            </w:r>
          </w:p>
        </w:tc>
      </w:tr>
    </w:tbl>
    <w:p>
      <w:pPr>
        <w:pStyle w:val="Heading2"/>
      </w:pPr>
      <w:r>
        <w:rPr>
          <w:rFonts w:ascii="Arial" w:cs="Arial" w:eastAsia="Arial" w:hAnsi="Arial"/>
        </w:rPr>
        <w:t xml:space="preserve">5. Page outline</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6554"/>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Item</w:t>
            </w:r>
          </w:p>
        </w:tc>
        <w:tc>
          <w:tcPr>
            <w:tcW w:type="dxa" w:w="655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Example answer</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headline (repeats the ad)</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Aircon chemical wash, booked this week</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supporting line</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For wall-mounted units in homes across Singapore. Pick a weekday slot online.</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main button</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Book a slot (jumps to the form)</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second option</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WhatsApp a photo of your unit</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Above the fold: trust line</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Our own technicians; we protect the area around each unit before we start</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Proof</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Photos of our technicians at work, the steps of the wash, the warranty terms in writing</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The offer: what is included</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Unit dismantled, coil and parts washed with chemical solution, drain checked, unit tested</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Objections and answers</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Mess: we cover the floor and furniture. Wash or overhaul: short comparison and a WhatsApp photo check.</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FAQ (3 to 6 questions)</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How long per unit? Do I need to be home? Wash or overhaul? Which units? What if the unit still is not cold?</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Form fields (only what you need to reply)</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Name, mobile number, postal code, number of units, preferred weekday</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WhatsApp pre-filled message</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Hi, I'm asking about the chemical wash (CW). Here is a photo of my unit:</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Call button and hours</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Call us, Monday to Saturday, 9am to 6pm (shown next to the button)</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Thank-you page or message</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Thanks, we will WhatsApp you to confirm a slot within one working day</w:t>
            </w:r>
          </w:p>
        </w:tc>
      </w:tr>
    </w:tbl>
    <w:p>
      <w:pPr>
        <w:pStyle w:val="Heading2"/>
      </w:pPr>
      <w:r>
        <w:rPr>
          <w:rFonts w:ascii="Arial" w:cs="Arial" w:eastAsia="Arial" w:hAnsi="Arial"/>
        </w:rPr>
        <w:t xml:space="preserve">6. Tracking plan</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2120"/>
        <w:gridCol w:w="1735"/>
        <w:gridCol w:w="964"/>
        <w:gridCol w:w="1928"/>
        <w:gridCol w:w="1349"/>
        <w:gridCol w:w="1542"/>
      </w:tblGrid>
      <w:tr>
        <w:trPr>
          <w:cantSplit/>
          <w:tblHeader/>
        </w:trPr>
        <w:tc>
          <w:tcPr>
            <w:tcW w:type="dxa" w:w="212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Action on the page</w:t>
            </w:r>
          </w:p>
        </w:tc>
        <w:tc>
          <w:tcPr>
            <w:tcW w:type="dxa" w:w="1735"/>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GA4 event name</w:t>
            </w:r>
          </w:p>
        </w:tc>
        <w:tc>
          <w:tcPr>
            <w:tcW w:type="dxa" w:w="96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Key event?</w:t>
            </w:r>
          </w:p>
        </w:tc>
        <w:tc>
          <w:tcPr>
            <w:tcW w:type="dxa" w:w="192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Google Ads conversion</w:t>
            </w:r>
          </w:p>
        </w:tc>
        <w:tc>
          <w:tcPr>
            <w:tcW w:type="dxa" w:w="1349"/>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Primary or secondary</w:t>
            </w:r>
          </w:p>
        </w:tc>
        <w:tc>
          <w:tcPr>
            <w:tcW w:type="dxa" w:w="1542"/>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How it was tested</w:t>
            </w:r>
          </w:p>
        </w:tc>
      </w:tr>
      <w:tr>
        <w:trPr>
          <w:cantSplit/>
        </w:trPr>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Booking form sent</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generate_lead</w:t>
            </w:r>
          </w:p>
        </w:tc>
        <w:tc>
          <w:tcPr>
            <w:tcW w:type="dxa" w:w="96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Booking request</w:t>
            </w:r>
          </w:p>
        </w:tc>
        <w:tc>
          <w:tcPr>
            <w:tcW w:type="dxa" w:w="1349"/>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Primary</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Test entry seen in GA4 and Google Ads</w:t>
            </w:r>
          </w:p>
        </w:tc>
      </w:tr>
      <w:tr>
        <w:trPr>
          <w:cantSplit/>
        </w:trPr>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Tap on WhatsApp button</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whatsapp_click</w:t>
            </w:r>
          </w:p>
        </w:tc>
        <w:tc>
          <w:tcPr>
            <w:tcW w:type="dxa" w:w="96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WhatsApp tap</w:t>
            </w:r>
          </w:p>
        </w:tc>
        <w:tc>
          <w:tcPr>
            <w:tcW w:type="dxa" w:w="1349"/>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Secondary</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Tap tested on Android and iPhone</w:t>
            </w:r>
          </w:p>
        </w:tc>
      </w:tr>
      <w:tr>
        <w:trPr>
          <w:cantSplit/>
        </w:trPr>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Tap on call button</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phone_click</w:t>
            </w:r>
          </w:p>
        </w:tc>
        <w:tc>
          <w:tcPr>
            <w:tcW w:type="dxa" w:w="96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Call tap</w:t>
            </w:r>
          </w:p>
        </w:tc>
        <w:tc>
          <w:tcPr>
            <w:tcW w:type="dxa" w:w="1349"/>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Secondary</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Tap tested on a phone</w:t>
            </w:r>
          </w:p>
        </w:tc>
      </w:tr>
      <w:tr>
        <w:trPr>
          <w:cantSplit/>
        </w:trPr>
        <w:tc>
          <w:tcPr>
            <w:tcW w:type="dxa" w:w="212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Customer booked and paid</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Imported, not a web event</w:t>
            </w:r>
          </w:p>
        </w:tc>
        <w:tc>
          <w:tcPr>
            <w:tcW w:type="dxa" w:w="96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n/a</w:t>
            </w:r>
          </w:p>
        </w:tc>
        <w:tc>
          <w:tcPr>
            <w:tcW w:type="dxa" w:w="192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Won customer</w:t>
            </w:r>
          </w:p>
        </w:tc>
        <w:tc>
          <w:tcPr>
            <w:tcW w:type="dxa" w:w="1349"/>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Secondary, review after a month</w:t>
            </w:r>
          </w:p>
        </w:tc>
        <w:tc>
          <w:tcPr>
            <w:tcW w:type="dxa" w:w="1542"/>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First import checked</w:t>
            </w:r>
          </w:p>
        </w:tc>
      </w:tr>
    </w:tbl>
    <w:p>
      <w:pPr>
        <w:spacing w:after="60"/>
      </w:pP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084"/>
        <w:gridCol w:w="6554"/>
      </w:tblGrid>
      <w:tr>
        <w:trPr>
          <w:cantSplit/>
          <w:tblHeader/>
        </w:trPr>
        <w:tc>
          <w:tcPr>
            <w:tcW w:type="dxa" w:w="308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Item</w:t>
            </w:r>
          </w:p>
        </w:tc>
        <w:tc>
          <w:tcPr>
            <w:tcW w:type="dxa" w:w="6554"/>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Example answer</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Auto-tagging and GA4 link checked</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checked by the agency</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UTM tags for links outside Google Ads</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Facebook ad and WhatsApp broadcast links tagged with the UTM builder, campaign chemical-wash-2026</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Enhanced conversions (form)</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On; privacy policy updated</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Import of won customers</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Monthly, from the booking system, by Google click ID</w:t>
            </w:r>
          </w:p>
        </w:tc>
      </w:tr>
      <w:tr>
        <w:trPr>
          <w:cantSplit/>
        </w:trPr>
        <w:tc>
          <w:tcPr>
            <w:tcW w:type="dxa" w:w="3084"/>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Where the team logs calls and chats</w:t>
            </w:r>
          </w:p>
        </w:tc>
        <w:tc>
          <w:tcPr>
            <w:tcW w:type="dxa" w:w="6554"/>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Booking system, with the campaign reference CW</w:t>
            </w:r>
          </w:p>
        </w:tc>
      </w:tr>
    </w:tbl>
    <w:p>
      <w:pPr>
        <w:pStyle w:val="Heading2"/>
      </w:pPr>
      <w:r>
        <w:rPr>
          <w:rFonts w:ascii="Arial" w:cs="Arial" w:eastAsia="Arial" w:hAnsi="Arial"/>
        </w:rPr>
        <w:t xml:space="preserve">7. Compliance notes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700"/>
        <w:gridCol w:w="5700"/>
        <w:gridCol w:w="3238"/>
      </w:tblGrid>
      <w:tr>
        <w:trPr>
          <w:tblHeader/>
        </w:trPr>
        <w:tc>
          <w:tcPr>
            <w:tcW w:type="dxa" w:w="70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
            </w:r>
          </w:p>
        </w:tc>
        <w:tc>
          <w:tcPr>
            <w:tcW w:type="dxa" w:w="5700"/>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Check</w:t>
            </w:r>
          </w:p>
        </w:tc>
        <w:tc>
          <w:tcPr>
            <w:tcW w:type="dxa" w:w="3238"/>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Example answer</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PDPA notice next to the form: what you collect and why (PDPC notification and consent obligations)</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Separate, optional, unticked opt-in for marketing messages</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Marketing calls and texts to Singapore numbers checked against the Do Not Call Registry, unless the person gave clear and unambiguous consent. Messages whose only purpose relates to an ongoing relationship, such as a membership or account, are outside the DNC rules; a one-off purchase is not an ongoing relationship</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before the maintenance reminders start</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No NRIC numbers collected</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Privacy policy explains any hashed data sent to Google Ads or Meta</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n/a</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Healthcare: MOH Healthcare Services (Advertisement) Regulations 2021 checked: no before-and-after or after-only photos, superlatives or comparisons, nothing that solicits or encourages use (reg 5); reviews, testimonials and endorsements only as reg 14 allows (given directly, unpaid, not substantively edited); no push messages such as SMS or WhatsApp without prior written consent (reg 6(4))</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applicable</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n/a</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Financial services: advertiser verified by Google for Singapore before launch</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applicable</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n/a</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Property: CEA particulars shown (salesperson name and registration number, estate agent name and licence number, registered contact number) and owner's consent held</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Not applicable</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Every claim on the page can be substantiated on launch day</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slots confirmed weekly</w:t>
            </w:r>
          </w:p>
        </w:tc>
      </w:tr>
      <w:tr>
        <w:trPr>
          <w:cantSplit/>
        </w:trPr>
        <w:tc>
          <w:tcPr>
            <w:tcW w:type="dxa" w:w="700"/>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t>
            </w:r>
          </w:p>
        </w:tc>
        <w:tc>
          <w:tcPr>
            <w:tcW w:type="dxa" w:w="5700"/>
            <w:tcBorders>
              <w:top w:val="single" w:color="D9D5CF" w:sz="4"/>
              <w:left w:val="single" w:color="D9D5CF" w:sz="4"/>
              <w:bottom w:val="single" w:color="D9D5CF" w:sz="4"/>
              <w:right w:val="single" w:color="D9D5CF" w:sz="4"/>
            </w:tcBorders>
            <w:tcMar>
              <w:top w:type="dxa" w:w="70"/>
              <w:left w:type="dxa" w:w="110"/>
              <w:bottom w:type="dxa" w:w="70"/>
              <w:right w:type="dxa" w:w="110"/>
            </w:tcMar>
          </w:tcPr>
          <w:p>
            <w:pPr>
              <w:spacing w:after="40"/>
            </w:pPr>
            <w:r>
              <w:rPr>
                <w:rFonts w:ascii="Arial" w:cs="Arial" w:eastAsia="Arial" w:hAnsi="Arial"/>
                <w:sz w:val="19"/>
                <w:szCs w:val="19"/>
              </w:rPr>
              <w:t xml:space="preserve">Photos and logos are your own or licensed</w:t>
            </w:r>
          </w:p>
        </w:tc>
        <w:tc>
          <w:tcPr>
            <w:tcW w:type="dxa" w:w="3238"/>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 own photos</w:t>
            </w:r>
          </w:p>
        </w:tc>
      </w:tr>
    </w:tbl>
    <w:p>
      <w:pPr>
        <w:pStyle w:val="Heading2"/>
      </w:pPr>
      <w:r>
        <w:rPr>
          <w:rFonts w:ascii="Arial" w:cs="Arial" w:eastAsia="Arial" w:hAnsi="Arial"/>
        </w:rPr>
        <w:t xml:space="preserve">8. Approvals</w:t>
      </w:r>
    </w:p>
    <w:tbl>
      <w:tblPr>
        <w:tblW w:type="dxa" w:w="9638"/>
        <w:tblBorders>
          <w:top w:val="single" w:color="D9D5CF" w:sz="4"/>
          <w:left w:val="single" w:color="D9D5CF" w:sz="4"/>
          <w:bottom w:val="single" w:color="D9D5CF" w:sz="4"/>
          <w:right w:val="single" w:color="D9D5CF" w:sz="4"/>
          <w:insideH w:val="single" w:color="D9D5CF" w:sz="4"/>
          <w:insideV w:val="single" w:color="D9D5CF" w:sz="4"/>
        </w:tblBorders>
        <w:tblLayout w:type="fixed"/>
      </w:tblPr>
      <w:tblGrid>
        <w:gridCol w:w="3277"/>
        <w:gridCol w:w="2891"/>
        <w:gridCol w:w="1735"/>
        <w:gridCol w:w="1735"/>
      </w:tblGrid>
      <w:tr>
        <w:trPr>
          <w:cantSplit/>
          <w:tblHeader/>
        </w:trPr>
        <w:tc>
          <w:tcPr>
            <w:tcW w:type="dxa" w:w="3277"/>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Stage</w:t>
            </w:r>
          </w:p>
        </w:tc>
        <w:tc>
          <w:tcPr>
            <w:tcW w:type="dxa" w:w="2891"/>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Name and role</w:t>
            </w:r>
          </w:p>
        </w:tc>
        <w:tc>
          <w:tcPr>
            <w:tcW w:type="dxa" w:w="1735"/>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Date</w:t>
            </w:r>
          </w:p>
        </w:tc>
        <w:tc>
          <w:tcPr>
            <w:tcW w:type="dxa" w:w="1735"/>
            <w:tcBorders>
              <w:top w:val="single" w:color="D9D5CF" w:sz="4"/>
              <w:left w:val="single" w:color="D9D5CF" w:sz="4"/>
              <w:bottom w:val="single" w:color="FF6A13" w:sz="12"/>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color w:val="0B0B0C"/>
                <w:sz w:val="19"/>
                <w:szCs w:val="19"/>
              </w:rPr>
              <w:t xml:space="preserve">Approved</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Brief</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Operations lead</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1</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Copy</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Owner</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1</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Design</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Owner</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2</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Build checked on a phone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Operations lead</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2</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Tracking tested (each conversion)</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Agency</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2</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Compliance check</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Owner</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2</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r>
        <w:trPr>
          <w:cantSplit/>
        </w:trPr>
        <w:tc>
          <w:tcPr>
            <w:tcW w:type="dxa" w:w="3277"/>
            <w:tcBorders>
              <w:top w:val="single" w:color="D9D5CF" w:sz="4"/>
              <w:left w:val="single" w:color="D9D5CF" w:sz="4"/>
              <w:bottom w:val="single" w:color="D9D5CF" w:sz="4"/>
              <w:right w:val="single" w:color="D9D5CF" w:sz="4"/>
            </w:tcBorders>
            <w:shd w:fill="F6F3EE" w:color="auto" w:val="clear"/>
            <w:tcMar>
              <w:top w:type="dxa" w:w="70"/>
              <w:left w:type="dxa" w:w="110"/>
              <w:bottom w:type="dxa" w:w="70"/>
              <w:right w:type="dxa" w:w="110"/>
            </w:tcMar>
            <w:vAlign w:val="top"/>
          </w:tcPr>
          <w:p>
            <w:pPr>
              <w:spacing w:after="40"/>
            </w:pPr>
            <w:r>
              <w:rPr>
                <w:rFonts w:ascii="Arial" w:cs="Arial" w:eastAsia="Arial" w:hAnsi="Arial"/>
                <w:b/>
                <w:bCs/>
                <w:sz w:val="19"/>
                <w:szCs w:val="19"/>
              </w:rPr>
              <w:t xml:space="preserve">Go live</w:t>
            </w:r>
          </w:p>
        </w:tc>
        <w:tc>
          <w:tcPr>
            <w:tcW w:type="dxa" w:w="2891"/>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Owner</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Week 3</w:t>
            </w:r>
          </w:p>
        </w:tc>
        <w:tc>
          <w:tcPr>
            <w:tcW w:type="dxa" w:w="1735"/>
            <w:tcBorders>
              <w:top w:val="single" w:color="D9D5CF" w:sz="4"/>
              <w:left w:val="single" w:color="D9D5CF" w:sz="4"/>
              <w:bottom w:val="single" w:color="D9D5CF" w:sz="4"/>
              <w:right w:val="single" w:color="D9D5CF" w:sz="4"/>
            </w:tcBorders>
            <w:tcMar>
              <w:top w:type="dxa" w:w="70"/>
              <w:left w:type="dxa" w:w="110"/>
              <w:bottom w:type="dxa" w:w="70"/>
              <w:right w:type="dxa" w:w="110"/>
            </w:tcMar>
            <w:vAlign w:val="top"/>
          </w:tcPr>
          <w:p>
            <w:pPr>
              <w:spacing w:after="40"/>
            </w:pPr>
            <w:r>
              <w:rPr>
                <w:rFonts w:ascii="Arial" w:cs="Arial" w:eastAsia="Arial" w:hAnsi="Arial"/>
                <w:b w:val="false"/>
                <w:bCs w:val="false"/>
                <w:sz w:val="19"/>
                <w:szCs w:val="19"/>
              </w:rPr>
              <w:t xml:space="preserve">Yes</w:t>
            </w:r>
          </w:p>
        </w:tc>
      </w:tr>
    </w:tbl>
    <w:sectPr>
      <w:footerReference w:type="default" r:id="rId6"/>
      <w:pgSz w:w="11906" w:h="16838" w:orient="portrait"/>
      <w:pgMar w:top="1134" w:right="1134" w:bottom="1134"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5CF" w:sz="4" w:space="6"/>
      </w:pBdr>
      <w:tabs>
        <w:tab w:val="right" w:pos="9638"/>
      </w:tabs>
    </w:pPr>
    <w:r>
      <w:rPr>
        <w:rFonts w:ascii="Arial" w:cs="Arial" w:eastAsia="Arial" w:hAnsi="Arial"/>
        <w:color w:val="5F5B55"/>
        <w:sz w:val="15"/>
        <w:szCs w:val="15"/>
      </w:rPr>
      <w:t xml:space="preserve">Landing page brief by JIN Design  ·  jin-design.com/resources/templates/landing-page-brief/</w:t>
    </w:r>
    <w:r>
      <w:rPr>
        <w:rFonts w:ascii="Arial" w:cs="Arial" w:eastAsia="Arial" w:hAnsi="Arial"/>
        <w:color w:val="5F5B55"/>
        <w:sz w:val="15"/>
        <w:szCs w:val="15"/>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B0B0C"/>
        <w:sz w:val="20"/>
        <w:szCs w:val="20"/>
      </w:rPr>
    </w:rPrDefault>
    <w:pPrDefault>
      <w:pPr>
        <w:spacing w:line="276"/>
      </w:pPr>
    </w:pPrDefault>
  </w:docDefaults>
  <w:style w:type="paragraph" w:styleId="Title">
    <w:name w:val="Title"/>
    <w:basedOn w:val="Normal"/>
    <w:next w:val="Normal"/>
    <w:qFormat/>
    <w:pPr>
      <w:spacing w:after="120"/>
    </w:pPr>
    <w:rPr>
      <w:rFonts w:ascii="Arial" w:cs="Arial" w:eastAsia="Arial" w:hAnsi="Arial"/>
      <w:b/>
      <w:bCs/>
      <w:color w:val="0B0B0C"/>
      <w:sz w:val="52"/>
      <w:szCs w:val="52"/>
    </w:rPr>
  </w:style>
  <w:style w:type="paragraph" w:styleId="Heading1">
    <w:name w:val="Heading 1"/>
    <w:basedOn w:val="Normal"/>
    <w:next w:val="Normal"/>
    <w:qFormat/>
    <w:pPr>
      <w:keepNext/>
      <w:spacing w:before="360" w:after="160"/>
    </w:pPr>
    <w:rPr>
      <w:rFonts w:ascii="Arial" w:cs="Arial" w:eastAsia="Arial" w:hAnsi="Arial"/>
      <w:b/>
      <w:bCs/>
      <w:color w:val="0B0B0C"/>
      <w:sz w:val="34"/>
      <w:szCs w:val="34"/>
    </w:rPr>
  </w:style>
  <w:style w:type="paragraph" w:styleId="Heading2">
    <w:name w:val="Heading 2"/>
    <w:basedOn w:val="Normal"/>
    <w:next w:val="Normal"/>
    <w:qFormat/>
    <w:pPr>
      <w:keepNext/>
      <w:pBdr>
        <w:bottom w:val="single" w:color="FF6A13" w:sz="8" w:space="4"/>
      </w:pBdr>
      <w:spacing w:before="320" w:after="100"/>
    </w:pPr>
    <w:rPr>
      <w:rFonts w:ascii="Arial" w:cs="Arial" w:eastAsia="Arial" w:hAnsi="Arial"/>
      <w:b/>
      <w:bCs/>
      <w:color w:val="0B0B0C"/>
      <w:sz w:val="26"/>
      <w:szCs w:val="26"/>
    </w:rPr>
  </w:style>
  <w:style w:type="paragraph" w:styleId="Heading3">
    <w:name w:val="Heading 3"/>
    <w:basedOn w:val="Normal"/>
    <w:next w:val="Normal"/>
    <w:qFormat/>
    <w:pPr>
      <w:keepNext/>
      <w:spacing w:before="240" w:after="80"/>
    </w:pPr>
    <w:rPr>
      <w:rFonts w:ascii="Arial" w:cs="Arial" w:eastAsia="Arial" w:hAnsi="Arial"/>
      <w:b/>
      <w:bCs/>
      <w:color w:val="0B0B0C"/>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C2410C"/>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Guidance">
    <w:name w:val="Guidance"/>
    <w:basedOn w:val="Normal"/>
    <w:next w:val="Normal"/>
    <w:qFormat/>
    <w:pPr>
      <w:keepNext/>
      <w:spacing w:after="100"/>
    </w:pPr>
    <w:rPr>
      <w:rFonts w:ascii="Arial" w:cs="Arial" w:eastAsia="Arial" w:hAnsi="Arial"/>
      <w:i/>
      <w:iCs/>
      <w:color w:val="5F5B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kgfgt3gjcbhvrthcpklvz" Type="http://schemas.openxmlformats.org/officeDocument/2006/relationships/hyperlink" Target="https://jin-design.com/blog/landing-pages-google-ads-singapore/" TargetMode="External"/><Relationship Id="rIdud1vnqqkpxocj_altk0-v" Type="http://schemas.openxmlformats.org/officeDocument/2006/relationships/hyperlink" Target="https://jin-design.com/resources/templates/landing-page-brief/" TargetMode="External"/><Relationship Id="rIdjerna5qr1ba2chv3aqkn7" Type="http://schemas.openxmlformats.org/officeDocument/2006/relationships/hyperlink" Target="https://www.pdpc.gov.sg/data-protection-obligations" TargetMode="External"/><Relationship Id="rIdti4rqeb7ruh9dna-fqksz" Type="http://schemas.openxmlformats.org/officeDocument/2006/relationships/hyperlink" Target="https://www.pdpc.gov.sg/about/do-not-call-registry/do-not-call-registry-for-organisations/organisations-guide-to-singapores-do-not-call-dnc-provisions" TargetMode="External"/><Relationship Id="rIdsmw0nlphnfgo8ses2qhkv" Type="http://schemas.openxmlformats.org/officeDocument/2006/relationships/hyperlink" Target="https://www.pdpc.gov.sg/-/media/Files/PDPC/PDF-Files/Advisory-Guidelines/Advisory-Guidelines-for-NRIC-Numbers---310818.pdf" TargetMode="External"/><Relationship Id="rIdii-6gzhn0oddnr9lkxowo" Type="http://schemas.openxmlformats.org/officeDocument/2006/relationships/hyperlink" Target="https://sso.agc.gov.sg/SL/HSA2020-S1033-2021" TargetMode="External"/><Relationship Id="rIdrzzzxqzlxuh__60rs5ooo" Type="http://schemas.openxmlformats.org/officeDocument/2006/relationships/hyperlink" Target="https://support.google.com/adspolicy/answer/15332527?hl=en&amp;co=GENIE.CountryCode%3DSG" TargetMode="External"/><Relationship Id="rIdo4nesmeaptwg2sfvu9rpb" Type="http://schemas.openxmlformats.org/officeDocument/2006/relationships/hyperlink" Target="https://www.cea.gov.sg/regulatory-matters/practice-guidelines-and-circulars/" TargetMode="External"/><Relationship Id="rId15"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JIN Design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Landing page brief</dc:title>
  <dc:subject>Plan a Google Ads landing page: goal, audience, ad promise, page outline, tracking plan, compliance and approvals</dc:subject>
  <dc:creator>JIN Design</dc:creator>
  <cp:keywords>landing page brief, Google Ads, Singapore, conversion tracking, PDPA</cp:keywords>
  <dc:description>Free landing page brief from JIN Design, with guidance and a filled example for a fictional Singapore business.</dc:description>
  <cp:lastModifiedBy>JIN Design</cp:lastModifiedBy>
  <cp:revision>1</cp:revision>
  <dcterms:created xsi:type="dcterms:W3CDTF">2026-10-28T01:00:00Z</dcterms:created>
  <dcterms:modified xsi:type="dcterms:W3CDTF">2026-10-28T01:00:00Z</dcterms:modified>
</cp:coreProperties>
</file>

<file path=docProps/custom.xml><?xml version="1.0" encoding="utf-8"?>
<Properties xmlns="http://schemas.openxmlformats.org/officeDocument/2006/custom-properties" xmlns:vt="http://schemas.openxmlformats.org/officeDocument/2006/docPropsVTypes"/>
</file>